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A4" w:rsidRPr="00CD38EB" w:rsidRDefault="00920224" w:rsidP="00CD38EB">
      <w:pPr>
        <w:pStyle w:val="Ttulo1"/>
      </w:pPr>
      <w:r w:rsidRPr="00CD38EB">
        <w:t>PRÁCTICA CALIFICADA - CITAS APA</w:t>
      </w:r>
    </w:p>
    <w:p w:rsidR="00CD38EB" w:rsidRDefault="00CD38EB" w:rsidP="00F63B2B">
      <w:pPr>
        <w:pStyle w:val="Prrafodelista"/>
        <w:spacing w:after="120" w:line="360" w:lineRule="auto"/>
        <w:ind w:left="0"/>
        <w:rPr>
          <w:rFonts w:ascii="Times New Roman" w:eastAsia="Times New Roman" w:hAnsi="Times New Roman" w:cs="Times New Roman"/>
          <w:color w:val="000000"/>
          <w:sz w:val="24"/>
          <w:szCs w:val="24"/>
          <w:lang w:eastAsia="es-PE"/>
        </w:rPr>
      </w:pPr>
    </w:p>
    <w:p w:rsidR="00F63B2B" w:rsidRPr="00FC2BFA" w:rsidRDefault="00F63B2B" w:rsidP="00F63B2B">
      <w:pPr>
        <w:pStyle w:val="Prrafodelista"/>
        <w:spacing w:after="120" w:line="360" w:lineRule="auto"/>
        <w:ind w:left="0"/>
        <w:rPr>
          <w:rFonts w:ascii="Times New Roman" w:eastAsia="Times New Roman" w:hAnsi="Times New Roman" w:cs="Times New Roman"/>
          <w:color w:val="000000"/>
          <w:sz w:val="24"/>
          <w:szCs w:val="24"/>
          <w:lang w:eastAsia="es-PE"/>
        </w:rPr>
      </w:pPr>
      <w:r w:rsidRPr="00FC2BFA">
        <w:rPr>
          <w:rFonts w:ascii="Times New Roman" w:eastAsia="Times New Roman" w:hAnsi="Times New Roman" w:cs="Times New Roman"/>
          <w:color w:val="000000"/>
          <w:sz w:val="24"/>
          <w:szCs w:val="24"/>
          <w:lang w:eastAsia="es-PE"/>
        </w:rPr>
        <w:t>Nombres y apellidos:</w:t>
      </w:r>
    </w:p>
    <w:p w:rsidR="00F63B2B" w:rsidRPr="00FC2BFA" w:rsidRDefault="00F63B2B" w:rsidP="00F63B2B">
      <w:pPr>
        <w:pStyle w:val="Prrafodelista"/>
        <w:spacing w:after="120" w:line="360" w:lineRule="auto"/>
        <w:ind w:left="0"/>
        <w:rPr>
          <w:rFonts w:ascii="Times New Roman" w:eastAsia="Times New Roman" w:hAnsi="Times New Roman" w:cs="Times New Roman"/>
          <w:color w:val="000000"/>
          <w:sz w:val="24"/>
          <w:szCs w:val="24"/>
          <w:lang w:eastAsia="es-PE"/>
        </w:rPr>
      </w:pPr>
      <w:r w:rsidRPr="00FC2BFA">
        <w:rPr>
          <w:rFonts w:ascii="Times New Roman" w:eastAsia="Times New Roman" w:hAnsi="Times New Roman" w:cs="Times New Roman"/>
          <w:color w:val="000000"/>
          <w:sz w:val="24"/>
          <w:szCs w:val="24"/>
          <w:lang w:eastAsia="es-PE"/>
        </w:rPr>
        <w:t>Fecha:</w:t>
      </w:r>
    </w:p>
    <w:p w:rsidR="00F63B2B" w:rsidRPr="00FC2BFA" w:rsidRDefault="00F63B2B" w:rsidP="00F63B2B">
      <w:pPr>
        <w:pStyle w:val="Prrafodelista"/>
        <w:spacing w:after="120" w:line="360" w:lineRule="auto"/>
        <w:ind w:left="0"/>
        <w:rPr>
          <w:rFonts w:ascii="Times New Roman" w:eastAsia="Times New Roman" w:hAnsi="Times New Roman" w:cs="Times New Roman"/>
          <w:color w:val="000000"/>
          <w:sz w:val="24"/>
          <w:szCs w:val="24"/>
          <w:lang w:eastAsia="es-PE"/>
        </w:rPr>
      </w:pPr>
    </w:p>
    <w:p w:rsidR="00DC1CEB" w:rsidRPr="00FC2BFA" w:rsidRDefault="00F63B2B" w:rsidP="00F63B2B">
      <w:pPr>
        <w:pStyle w:val="Prrafodelista"/>
        <w:spacing w:after="120" w:line="360" w:lineRule="auto"/>
        <w:ind w:left="0"/>
        <w:rPr>
          <w:rFonts w:ascii="Times New Roman" w:hAnsi="Times New Roman" w:cs="Times New Roman"/>
          <w:b/>
          <w:sz w:val="24"/>
          <w:szCs w:val="24"/>
        </w:rPr>
      </w:pPr>
      <w:r w:rsidRPr="00FC2BFA">
        <w:rPr>
          <w:rFonts w:ascii="Times New Roman" w:hAnsi="Times New Roman" w:cs="Times New Roman"/>
          <w:b/>
          <w:sz w:val="24"/>
          <w:szCs w:val="24"/>
        </w:rPr>
        <w:t>Identifique y corrija las siguientes citas, una vez finalizado el ejerci</w:t>
      </w:r>
      <w:r w:rsidR="00B029F8">
        <w:rPr>
          <w:rFonts w:ascii="Times New Roman" w:hAnsi="Times New Roman" w:cs="Times New Roman"/>
          <w:b/>
          <w:sz w:val="24"/>
          <w:szCs w:val="24"/>
        </w:rPr>
        <w:t>cio, envíe el archivo al correo dcuellar</w:t>
      </w:r>
      <w:r w:rsidRPr="00FC2BFA">
        <w:rPr>
          <w:rFonts w:ascii="Times New Roman" w:hAnsi="Times New Roman" w:cs="Times New Roman"/>
          <w:b/>
          <w:sz w:val="24"/>
          <w:szCs w:val="24"/>
        </w:rPr>
        <w:t>@ulima.edu.pe</w:t>
      </w:r>
    </w:p>
    <w:p w:rsidR="00DC1CEB" w:rsidRPr="00FC2BFA" w:rsidRDefault="00DC1CEB" w:rsidP="0078345E">
      <w:pPr>
        <w:spacing w:after="120" w:line="360" w:lineRule="auto"/>
        <w:ind w:left="1134" w:hanging="425"/>
        <w:jc w:val="center"/>
        <w:rPr>
          <w:rFonts w:ascii="Times New Roman" w:eastAsia="Times New Roman" w:hAnsi="Times New Roman" w:cs="Times New Roman"/>
          <w:sz w:val="24"/>
          <w:szCs w:val="24"/>
          <w:lang w:eastAsia="es-PE"/>
        </w:rPr>
      </w:pPr>
    </w:p>
    <w:p w:rsidR="00C05B97" w:rsidRPr="002270B0" w:rsidRDefault="00C05B97" w:rsidP="00CD38EB">
      <w:pPr>
        <w:pStyle w:val="Prrafodelista"/>
        <w:numPr>
          <w:ilvl w:val="0"/>
          <w:numId w:val="23"/>
        </w:numPr>
        <w:tabs>
          <w:tab w:val="left" w:pos="1276"/>
        </w:tabs>
        <w:spacing w:after="0" w:line="360" w:lineRule="auto"/>
        <w:ind w:left="425" w:hanging="425"/>
        <w:contextualSpacing w:val="0"/>
        <w:jc w:val="both"/>
        <w:textAlignment w:val="baseline"/>
        <w:rPr>
          <w:rFonts w:ascii="Times New Roman" w:eastAsia="Times New Roman" w:hAnsi="Times New Roman" w:cs="Times New Roman"/>
          <w:color w:val="000000"/>
          <w:sz w:val="24"/>
          <w:szCs w:val="24"/>
          <w:lang w:eastAsia="es-PE"/>
        </w:rPr>
      </w:pPr>
      <w:r w:rsidRPr="002270B0">
        <w:rPr>
          <w:rFonts w:ascii="Times New Roman" w:eastAsia="Times New Roman" w:hAnsi="Times New Roman" w:cs="Times New Roman"/>
          <w:color w:val="000000"/>
          <w:sz w:val="24"/>
          <w:szCs w:val="24"/>
          <w:lang w:eastAsia="es-PE"/>
        </w:rPr>
        <w:t>Los costos de bancarrota se dividen en “</w:t>
      </w:r>
      <w:r w:rsidRPr="002270B0">
        <w:rPr>
          <w:rFonts w:ascii="Times New Roman" w:eastAsia="Times New Roman" w:hAnsi="Times New Roman" w:cs="Times New Roman"/>
          <w:i/>
          <w:color w:val="000000"/>
          <w:sz w:val="24"/>
          <w:szCs w:val="24"/>
          <w:lang w:eastAsia="es-PE"/>
        </w:rPr>
        <w:t>costos directos e indirectos. Los costos</w:t>
      </w:r>
      <w:r w:rsidR="002270B0" w:rsidRPr="002270B0">
        <w:rPr>
          <w:rFonts w:ascii="Times New Roman" w:eastAsia="Times New Roman" w:hAnsi="Times New Roman" w:cs="Times New Roman"/>
          <w:i/>
          <w:color w:val="000000"/>
          <w:sz w:val="24"/>
          <w:szCs w:val="24"/>
          <w:lang w:eastAsia="es-PE"/>
        </w:rPr>
        <w:t xml:space="preserve"> </w:t>
      </w:r>
      <w:r w:rsidRPr="002270B0">
        <w:rPr>
          <w:rFonts w:ascii="Times New Roman" w:eastAsia="Times New Roman" w:hAnsi="Times New Roman" w:cs="Times New Roman"/>
          <w:i/>
          <w:color w:val="000000"/>
          <w:sz w:val="24"/>
          <w:szCs w:val="24"/>
          <w:lang w:eastAsia="es-PE"/>
        </w:rPr>
        <w:t>directos son gastos legales y administrativos que la empresa debe asumir cuando cae en</w:t>
      </w:r>
      <w:r w:rsidR="002270B0" w:rsidRPr="002270B0">
        <w:rPr>
          <w:rFonts w:ascii="Times New Roman" w:eastAsia="Times New Roman" w:hAnsi="Times New Roman" w:cs="Times New Roman"/>
          <w:i/>
          <w:color w:val="000000"/>
          <w:sz w:val="24"/>
          <w:szCs w:val="24"/>
          <w:lang w:eastAsia="es-PE"/>
        </w:rPr>
        <w:t xml:space="preserve"> </w:t>
      </w:r>
      <w:r w:rsidRPr="002270B0">
        <w:rPr>
          <w:rFonts w:ascii="Times New Roman" w:eastAsia="Times New Roman" w:hAnsi="Times New Roman" w:cs="Times New Roman"/>
          <w:i/>
          <w:color w:val="000000"/>
          <w:sz w:val="24"/>
          <w:szCs w:val="24"/>
          <w:lang w:eastAsia="es-PE"/>
        </w:rPr>
        <w:t>quiebra. Dada su naturaleza contable, estos son fáciles de cuantificar</w:t>
      </w:r>
      <w:r w:rsidRPr="002270B0">
        <w:rPr>
          <w:rFonts w:ascii="Times New Roman" w:eastAsia="Times New Roman" w:hAnsi="Times New Roman" w:cs="Times New Roman"/>
          <w:color w:val="000000"/>
          <w:sz w:val="24"/>
          <w:szCs w:val="24"/>
          <w:lang w:eastAsia="es-PE"/>
        </w:rPr>
        <w:t>”. (Rivera, 2002)</w:t>
      </w:r>
    </w:p>
    <w:p w:rsidR="00C05B97" w:rsidRPr="00FC2BFA" w:rsidRDefault="00C05B97" w:rsidP="00CD38EB">
      <w:pPr>
        <w:tabs>
          <w:tab w:val="left" w:pos="1276"/>
        </w:tabs>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p>
    <w:p w:rsidR="00803CA4" w:rsidRPr="002270B0" w:rsidRDefault="00C05B97" w:rsidP="00CD38EB">
      <w:pPr>
        <w:pStyle w:val="Prrafodelista"/>
        <w:numPr>
          <w:ilvl w:val="0"/>
          <w:numId w:val="23"/>
        </w:numPr>
        <w:tabs>
          <w:tab w:val="left" w:pos="1276"/>
        </w:tabs>
        <w:spacing w:after="0" w:line="360" w:lineRule="auto"/>
        <w:ind w:left="425" w:hanging="425"/>
        <w:contextualSpacing w:val="0"/>
        <w:jc w:val="both"/>
        <w:textAlignment w:val="baseline"/>
        <w:rPr>
          <w:rFonts w:ascii="Times New Roman" w:eastAsia="Times New Roman" w:hAnsi="Times New Roman" w:cs="Times New Roman"/>
          <w:sz w:val="24"/>
          <w:szCs w:val="24"/>
          <w:lang w:eastAsia="es-PE"/>
        </w:rPr>
      </w:pPr>
      <w:r w:rsidRPr="002270B0">
        <w:rPr>
          <w:rFonts w:ascii="Times New Roman" w:eastAsia="Times New Roman" w:hAnsi="Times New Roman" w:cs="Times New Roman"/>
          <w:color w:val="000000"/>
          <w:sz w:val="24"/>
          <w:szCs w:val="24"/>
          <w:lang w:eastAsia="es-PE"/>
        </w:rPr>
        <w:t>Ramos, Rivera, Pérez, Cancel, Costilla y Hernández (2004) afirman que a través del tiempo han surgido diversos paradigmas en la educación, el más nuevo es el holista; el cual es una alternativa a cuatrocientos años de paradigmas dogmáticos y cientificistas.</w:t>
      </w:r>
    </w:p>
    <w:p w:rsidR="00C05B97" w:rsidRPr="00FC2BFA" w:rsidRDefault="00C05B97" w:rsidP="00CD38EB">
      <w:pPr>
        <w:spacing w:after="0" w:line="360" w:lineRule="auto"/>
        <w:ind w:left="425" w:hanging="425"/>
        <w:rPr>
          <w:rFonts w:ascii="Times New Roman" w:eastAsia="Times New Roman" w:hAnsi="Times New Roman" w:cs="Times New Roman"/>
          <w:sz w:val="24"/>
          <w:szCs w:val="24"/>
          <w:lang w:eastAsia="es-PE"/>
        </w:rPr>
      </w:pPr>
    </w:p>
    <w:p w:rsidR="00803CA4" w:rsidRPr="002270B0" w:rsidRDefault="00803CA4" w:rsidP="00CD38EB">
      <w:pPr>
        <w:pStyle w:val="Prrafodelista"/>
        <w:numPr>
          <w:ilvl w:val="0"/>
          <w:numId w:val="23"/>
        </w:numPr>
        <w:tabs>
          <w:tab w:val="left" w:pos="1276"/>
        </w:tabs>
        <w:spacing w:after="0" w:line="360" w:lineRule="auto"/>
        <w:ind w:left="425" w:hanging="425"/>
        <w:contextualSpacing w:val="0"/>
        <w:jc w:val="both"/>
        <w:textAlignment w:val="baseline"/>
        <w:rPr>
          <w:rFonts w:ascii="Times New Roman" w:eastAsia="Times New Roman" w:hAnsi="Times New Roman" w:cs="Times New Roman"/>
          <w:color w:val="000000"/>
          <w:sz w:val="24"/>
          <w:szCs w:val="24"/>
          <w:lang w:eastAsia="es-PE"/>
        </w:rPr>
      </w:pPr>
      <w:r w:rsidRPr="002270B0">
        <w:rPr>
          <w:rFonts w:ascii="Times New Roman" w:eastAsia="Times New Roman" w:hAnsi="Times New Roman" w:cs="Times New Roman"/>
          <w:color w:val="000000"/>
          <w:sz w:val="24"/>
          <w:szCs w:val="24"/>
          <w:lang w:eastAsia="es-PE"/>
        </w:rPr>
        <w:t>“</w:t>
      </w:r>
      <w:r w:rsidR="00FC2BFA" w:rsidRPr="002270B0">
        <w:rPr>
          <w:rFonts w:ascii="Times New Roman" w:eastAsia="Times New Roman" w:hAnsi="Times New Roman" w:cs="Times New Roman"/>
          <w:color w:val="000000"/>
          <w:sz w:val="24"/>
          <w:szCs w:val="24"/>
          <w:lang w:eastAsia="es-PE"/>
        </w:rPr>
        <w:t>L</w:t>
      </w:r>
      <w:r w:rsidR="00C05B97" w:rsidRPr="002270B0">
        <w:rPr>
          <w:rFonts w:ascii="Times New Roman" w:eastAsia="Times New Roman" w:hAnsi="Times New Roman" w:cs="Times New Roman"/>
          <w:color w:val="000000"/>
          <w:sz w:val="24"/>
          <w:szCs w:val="24"/>
          <w:lang w:eastAsia="es-PE"/>
        </w:rPr>
        <w:t>os costos indirectos ocasionan una disminución de capacidad de la</w:t>
      </w:r>
      <w:r w:rsidR="00FC2BFA" w:rsidRPr="002270B0">
        <w:rPr>
          <w:rFonts w:ascii="Times New Roman" w:eastAsia="Times New Roman" w:hAnsi="Times New Roman" w:cs="Times New Roman"/>
          <w:color w:val="000000"/>
          <w:sz w:val="24"/>
          <w:szCs w:val="24"/>
          <w:lang w:eastAsia="es-PE"/>
        </w:rPr>
        <w:t xml:space="preserve"> </w:t>
      </w:r>
      <w:r w:rsidR="00C05B97" w:rsidRPr="002270B0">
        <w:rPr>
          <w:rFonts w:ascii="Times New Roman" w:eastAsia="Times New Roman" w:hAnsi="Times New Roman" w:cs="Times New Roman"/>
          <w:color w:val="000000"/>
          <w:sz w:val="24"/>
          <w:szCs w:val="24"/>
          <w:lang w:eastAsia="es-PE"/>
        </w:rPr>
        <w:t>empresa para generar ventas y utilidades debido a la alta probabilidad de quiebra. Estos</w:t>
      </w:r>
      <w:r w:rsidR="00FC2BFA" w:rsidRPr="002270B0">
        <w:rPr>
          <w:rFonts w:ascii="Times New Roman" w:eastAsia="Times New Roman" w:hAnsi="Times New Roman" w:cs="Times New Roman"/>
          <w:color w:val="000000"/>
          <w:sz w:val="24"/>
          <w:szCs w:val="24"/>
          <w:lang w:eastAsia="es-PE"/>
        </w:rPr>
        <w:t xml:space="preserve"> </w:t>
      </w:r>
      <w:r w:rsidR="00C05B97" w:rsidRPr="002270B0">
        <w:rPr>
          <w:rFonts w:ascii="Times New Roman" w:eastAsia="Times New Roman" w:hAnsi="Times New Roman" w:cs="Times New Roman"/>
          <w:color w:val="000000"/>
          <w:sz w:val="24"/>
          <w:szCs w:val="24"/>
          <w:lang w:eastAsia="es-PE"/>
        </w:rPr>
        <w:t>surgen porque diferentes agentes pueden resistirse a hacer negocios con una entidad que</w:t>
      </w:r>
      <w:r w:rsidR="00FC2BFA" w:rsidRPr="002270B0">
        <w:rPr>
          <w:rFonts w:ascii="Times New Roman" w:eastAsia="Times New Roman" w:hAnsi="Times New Roman" w:cs="Times New Roman"/>
          <w:color w:val="000000"/>
          <w:sz w:val="24"/>
          <w:szCs w:val="24"/>
          <w:lang w:eastAsia="es-PE"/>
        </w:rPr>
        <w:t xml:space="preserve"> </w:t>
      </w:r>
      <w:r w:rsidR="00C05B97" w:rsidRPr="002270B0">
        <w:rPr>
          <w:rFonts w:ascii="Times New Roman" w:eastAsia="Times New Roman" w:hAnsi="Times New Roman" w:cs="Times New Roman"/>
          <w:color w:val="000000"/>
          <w:sz w:val="24"/>
          <w:szCs w:val="24"/>
          <w:lang w:eastAsia="es-PE"/>
        </w:rPr>
        <w:t>se encuentra en estrés financiero y son más difíciles de cuantificar que los costos</w:t>
      </w:r>
      <w:r w:rsidR="00FC2BFA" w:rsidRPr="002270B0">
        <w:rPr>
          <w:rFonts w:ascii="Times New Roman" w:eastAsia="Times New Roman" w:hAnsi="Times New Roman" w:cs="Times New Roman"/>
          <w:color w:val="000000"/>
          <w:sz w:val="24"/>
          <w:szCs w:val="24"/>
          <w:lang w:eastAsia="es-PE"/>
        </w:rPr>
        <w:t xml:space="preserve"> </w:t>
      </w:r>
      <w:r w:rsidR="00C05B97" w:rsidRPr="002270B0">
        <w:rPr>
          <w:rFonts w:ascii="Times New Roman" w:eastAsia="Times New Roman" w:hAnsi="Times New Roman" w:cs="Times New Roman"/>
          <w:color w:val="000000"/>
          <w:sz w:val="24"/>
          <w:szCs w:val="24"/>
          <w:lang w:eastAsia="es-PE"/>
        </w:rPr>
        <w:t>directos</w:t>
      </w:r>
      <w:r w:rsidRPr="002270B0">
        <w:rPr>
          <w:rFonts w:ascii="Times New Roman" w:eastAsia="Times New Roman" w:hAnsi="Times New Roman" w:cs="Times New Roman"/>
          <w:color w:val="000000"/>
          <w:sz w:val="24"/>
          <w:szCs w:val="24"/>
          <w:lang w:eastAsia="es-PE"/>
        </w:rPr>
        <w:t>” (</w:t>
      </w:r>
      <w:r w:rsidR="00FC2BFA" w:rsidRPr="002270B0">
        <w:rPr>
          <w:rFonts w:ascii="Times New Roman" w:eastAsia="Times New Roman" w:hAnsi="Times New Roman" w:cs="Times New Roman"/>
          <w:color w:val="000000"/>
          <w:sz w:val="24"/>
          <w:szCs w:val="24"/>
          <w:lang w:eastAsia="es-PE"/>
        </w:rPr>
        <w:t>Johansson &amp; Larson</w:t>
      </w:r>
      <w:r w:rsidRPr="002270B0">
        <w:rPr>
          <w:rFonts w:ascii="Times New Roman" w:eastAsia="Times New Roman" w:hAnsi="Times New Roman" w:cs="Times New Roman"/>
          <w:color w:val="000000"/>
          <w:sz w:val="24"/>
          <w:szCs w:val="24"/>
          <w:lang w:eastAsia="es-PE"/>
        </w:rPr>
        <w:t>, 201</w:t>
      </w:r>
      <w:r w:rsidR="00FC2BFA" w:rsidRPr="002270B0">
        <w:rPr>
          <w:rFonts w:ascii="Times New Roman" w:eastAsia="Times New Roman" w:hAnsi="Times New Roman" w:cs="Times New Roman"/>
          <w:color w:val="000000"/>
          <w:sz w:val="24"/>
          <w:szCs w:val="24"/>
          <w:lang w:eastAsia="es-PE"/>
        </w:rPr>
        <w:t>4</w:t>
      </w:r>
      <w:r w:rsidRPr="002270B0">
        <w:rPr>
          <w:rFonts w:ascii="Times New Roman" w:eastAsia="Times New Roman" w:hAnsi="Times New Roman" w:cs="Times New Roman"/>
          <w:color w:val="000000"/>
          <w:sz w:val="24"/>
          <w:szCs w:val="24"/>
          <w:lang w:eastAsia="es-PE"/>
        </w:rPr>
        <w:t xml:space="preserve">, p. </w:t>
      </w:r>
      <w:r w:rsidR="00FC2BFA" w:rsidRPr="002270B0">
        <w:rPr>
          <w:rFonts w:ascii="Times New Roman" w:eastAsia="Times New Roman" w:hAnsi="Times New Roman" w:cs="Times New Roman"/>
          <w:color w:val="000000"/>
          <w:sz w:val="24"/>
          <w:szCs w:val="24"/>
          <w:lang w:eastAsia="es-PE"/>
        </w:rPr>
        <w:t>23</w:t>
      </w:r>
      <w:r w:rsidRPr="002270B0">
        <w:rPr>
          <w:rFonts w:ascii="Times New Roman" w:eastAsia="Times New Roman" w:hAnsi="Times New Roman" w:cs="Times New Roman"/>
          <w:color w:val="000000"/>
          <w:sz w:val="24"/>
          <w:szCs w:val="24"/>
          <w:lang w:eastAsia="es-PE"/>
        </w:rPr>
        <w:t xml:space="preserve"> y </w:t>
      </w:r>
      <w:r w:rsidR="00FC2BFA" w:rsidRPr="002270B0">
        <w:rPr>
          <w:rFonts w:ascii="Times New Roman" w:eastAsia="Times New Roman" w:hAnsi="Times New Roman" w:cs="Times New Roman"/>
          <w:color w:val="000000"/>
          <w:sz w:val="24"/>
          <w:szCs w:val="24"/>
          <w:lang w:eastAsia="es-PE"/>
        </w:rPr>
        <w:t>24</w:t>
      </w:r>
      <w:r w:rsidRPr="002270B0">
        <w:rPr>
          <w:rFonts w:ascii="Times New Roman" w:eastAsia="Times New Roman" w:hAnsi="Times New Roman" w:cs="Times New Roman"/>
          <w:color w:val="000000"/>
          <w:sz w:val="24"/>
          <w:szCs w:val="24"/>
          <w:lang w:eastAsia="es-PE"/>
        </w:rPr>
        <w:t>).</w:t>
      </w:r>
    </w:p>
    <w:p w:rsidR="00803CA4" w:rsidRPr="00FC2BFA" w:rsidRDefault="00803CA4" w:rsidP="00CD38EB">
      <w:pPr>
        <w:tabs>
          <w:tab w:val="left" w:pos="1276"/>
        </w:tabs>
        <w:spacing w:after="0" w:line="360" w:lineRule="auto"/>
        <w:ind w:left="425" w:hanging="425"/>
        <w:rPr>
          <w:rFonts w:ascii="Times New Roman" w:eastAsia="Times New Roman" w:hAnsi="Times New Roman" w:cs="Times New Roman"/>
          <w:sz w:val="24"/>
          <w:szCs w:val="24"/>
          <w:lang w:eastAsia="es-PE"/>
        </w:rPr>
      </w:pPr>
    </w:p>
    <w:p w:rsidR="0078345E" w:rsidRDefault="00FC2BFA" w:rsidP="00CD38EB">
      <w:pPr>
        <w:pStyle w:val="Prrafodelista"/>
        <w:numPr>
          <w:ilvl w:val="0"/>
          <w:numId w:val="23"/>
        </w:numPr>
        <w:tabs>
          <w:tab w:val="left" w:pos="1276"/>
        </w:tabs>
        <w:spacing w:after="0" w:line="360" w:lineRule="auto"/>
        <w:ind w:left="425" w:hanging="425"/>
        <w:contextualSpacing w:val="0"/>
        <w:textAlignment w:val="baseline"/>
        <w:rPr>
          <w:rFonts w:ascii="Times New Roman" w:eastAsia="Times New Roman" w:hAnsi="Times New Roman" w:cs="Times New Roman"/>
          <w:color w:val="000000"/>
          <w:sz w:val="24"/>
          <w:szCs w:val="24"/>
          <w:lang w:eastAsia="es-PE"/>
        </w:rPr>
      </w:pPr>
      <w:r w:rsidRPr="002270B0">
        <w:rPr>
          <w:rFonts w:ascii="Times New Roman" w:eastAsia="Times New Roman" w:hAnsi="Times New Roman" w:cs="Times New Roman"/>
          <w:color w:val="000000"/>
          <w:sz w:val="24"/>
          <w:szCs w:val="24"/>
          <w:lang w:eastAsia="es-PE"/>
        </w:rPr>
        <w:t xml:space="preserve">El análisis de Modigliani y Miller (1978) era de equilibrio parcial, y asumía que las firmas podían clasificarse en grupos homogéneos, dentro de los cuales los valores tenían retornos perfectamente correlacionados. </w:t>
      </w:r>
      <w:r w:rsidR="00803CA4" w:rsidRPr="002270B0">
        <w:rPr>
          <w:rFonts w:ascii="Times New Roman" w:eastAsia="Times New Roman" w:hAnsi="Times New Roman" w:cs="Times New Roman"/>
          <w:color w:val="000000"/>
          <w:sz w:val="24"/>
          <w:szCs w:val="24"/>
          <w:lang w:eastAsia="es-PE"/>
        </w:rPr>
        <w:t>(Págs. 60-62).</w:t>
      </w:r>
      <w:r w:rsidR="002270B0">
        <w:rPr>
          <w:rFonts w:ascii="Times New Roman" w:eastAsia="Times New Roman" w:hAnsi="Times New Roman" w:cs="Times New Roman"/>
          <w:color w:val="000000"/>
          <w:sz w:val="24"/>
          <w:szCs w:val="24"/>
          <w:lang w:eastAsia="es-PE"/>
        </w:rPr>
        <w:br/>
      </w:r>
    </w:p>
    <w:p w:rsidR="00803CA4" w:rsidRPr="002270B0" w:rsidRDefault="00803CA4" w:rsidP="00CD38EB">
      <w:pPr>
        <w:pStyle w:val="Prrafodelista"/>
        <w:numPr>
          <w:ilvl w:val="0"/>
          <w:numId w:val="23"/>
        </w:numPr>
        <w:tabs>
          <w:tab w:val="left" w:pos="1276"/>
        </w:tabs>
        <w:spacing w:after="0" w:line="360" w:lineRule="auto"/>
        <w:ind w:left="425" w:hanging="425"/>
        <w:contextualSpacing w:val="0"/>
        <w:jc w:val="both"/>
        <w:textAlignment w:val="baseline"/>
        <w:rPr>
          <w:rFonts w:ascii="Times New Roman" w:eastAsia="Times New Roman" w:hAnsi="Times New Roman" w:cs="Times New Roman"/>
          <w:color w:val="000000"/>
          <w:sz w:val="24"/>
          <w:szCs w:val="24"/>
          <w:lang w:eastAsia="es-PE"/>
        </w:rPr>
      </w:pPr>
      <w:r w:rsidRPr="002270B0">
        <w:rPr>
          <w:rFonts w:ascii="Times New Roman" w:eastAsia="Times New Roman" w:hAnsi="Times New Roman" w:cs="Times New Roman"/>
          <w:color w:val="000000"/>
          <w:sz w:val="24"/>
          <w:szCs w:val="24"/>
          <w:lang w:eastAsia="es-PE"/>
        </w:rPr>
        <w:t>Siendo casi imposible conocer la incidencia y predominio de esta enfermedad antes del siglo XIX, se estima que tiene una antigüedad de 20000 años (Robles, 1997</w:t>
      </w:r>
      <w:r w:rsidR="00320CE9">
        <w:rPr>
          <w:rFonts w:ascii="Times New Roman" w:eastAsia="Times New Roman" w:hAnsi="Times New Roman" w:cs="Times New Roman"/>
          <w:color w:val="000000"/>
          <w:sz w:val="24"/>
          <w:szCs w:val="24"/>
          <w:lang w:eastAsia="es-PE"/>
        </w:rPr>
        <w:t>; Maguiña, 2008)</w:t>
      </w:r>
      <w:bookmarkStart w:id="0" w:name="_GoBack"/>
      <w:bookmarkEnd w:id="0"/>
      <w:r w:rsidRPr="002270B0">
        <w:rPr>
          <w:rFonts w:ascii="Times New Roman" w:eastAsia="Times New Roman" w:hAnsi="Times New Roman" w:cs="Times New Roman"/>
          <w:color w:val="000000"/>
          <w:sz w:val="24"/>
          <w:szCs w:val="24"/>
          <w:lang w:eastAsia="es-PE"/>
        </w:rPr>
        <w:t xml:space="preserve">, pues se han encontrado indicios de su presencia en huesos humanos que datan de la era Neolítica, y se relacionaba a la domesticación del ganado bovino en África. Cartes </w:t>
      </w:r>
      <w:r w:rsidRPr="002270B0">
        <w:rPr>
          <w:rFonts w:ascii="Times New Roman" w:eastAsia="Times New Roman" w:hAnsi="Times New Roman" w:cs="Times New Roman"/>
          <w:color w:val="000000"/>
          <w:sz w:val="24"/>
          <w:szCs w:val="24"/>
          <w:lang w:eastAsia="es-PE"/>
        </w:rPr>
        <w:lastRenderedPageBreak/>
        <w:t xml:space="preserve">Parra señala </w:t>
      </w:r>
      <w:r w:rsidR="00CD38EB" w:rsidRPr="002270B0">
        <w:rPr>
          <w:rFonts w:ascii="Times New Roman" w:eastAsia="Times New Roman" w:hAnsi="Times New Roman" w:cs="Times New Roman"/>
          <w:color w:val="000000"/>
          <w:sz w:val="24"/>
          <w:szCs w:val="24"/>
          <w:lang w:eastAsia="es-PE"/>
        </w:rPr>
        <w:t>que,</w:t>
      </w:r>
      <w:r w:rsidRPr="002270B0">
        <w:rPr>
          <w:rFonts w:ascii="Times New Roman" w:eastAsia="Times New Roman" w:hAnsi="Times New Roman" w:cs="Times New Roman"/>
          <w:color w:val="000000"/>
          <w:sz w:val="24"/>
          <w:szCs w:val="24"/>
          <w:lang w:eastAsia="es-PE"/>
        </w:rPr>
        <w:t xml:space="preserve"> en el caso de América del Sur, las primeras evidencias de la tuberculosis hacen referencia a la Cultura Paracas (Cartes Parra, 2010, p. 126). </w:t>
      </w:r>
    </w:p>
    <w:p w:rsidR="00803CA4" w:rsidRDefault="00803CA4" w:rsidP="00CD38EB">
      <w:pPr>
        <w:tabs>
          <w:tab w:val="left" w:pos="1276"/>
        </w:tabs>
        <w:spacing w:after="0" w:line="360" w:lineRule="auto"/>
        <w:ind w:left="425" w:hanging="425"/>
        <w:rPr>
          <w:rFonts w:ascii="Times New Roman" w:eastAsia="Times New Roman" w:hAnsi="Times New Roman" w:cs="Times New Roman"/>
          <w:sz w:val="24"/>
          <w:szCs w:val="24"/>
          <w:lang w:eastAsia="es-PE"/>
        </w:rPr>
      </w:pPr>
    </w:p>
    <w:p w:rsidR="00803CA4" w:rsidRPr="002270B0" w:rsidRDefault="00803CA4" w:rsidP="00CD38EB">
      <w:pPr>
        <w:pStyle w:val="Prrafodelista"/>
        <w:numPr>
          <w:ilvl w:val="0"/>
          <w:numId w:val="23"/>
        </w:numPr>
        <w:tabs>
          <w:tab w:val="left" w:pos="1276"/>
        </w:tabs>
        <w:spacing w:after="0" w:line="360" w:lineRule="auto"/>
        <w:ind w:left="425" w:hanging="425"/>
        <w:contextualSpacing w:val="0"/>
        <w:jc w:val="both"/>
        <w:textAlignment w:val="baseline"/>
        <w:rPr>
          <w:rFonts w:ascii="Times New Roman" w:eastAsia="Times New Roman" w:hAnsi="Times New Roman" w:cs="Times New Roman"/>
          <w:color w:val="000000"/>
          <w:sz w:val="24"/>
          <w:szCs w:val="24"/>
          <w:lang w:eastAsia="es-PE"/>
        </w:rPr>
      </w:pPr>
      <w:r w:rsidRPr="002270B0">
        <w:rPr>
          <w:rFonts w:ascii="Times New Roman" w:eastAsia="Times New Roman" w:hAnsi="Times New Roman" w:cs="Times New Roman"/>
          <w:color w:val="000000"/>
          <w:sz w:val="24"/>
          <w:szCs w:val="24"/>
          <w:lang w:eastAsia="es-PE"/>
        </w:rPr>
        <w:t xml:space="preserve">Según Piñeiro (2012), la indiferencia fue un factor determinante, pues en el siglo XVII se inicia la epidemia de tuberculosis en Europa, convirtiéndose en la principal causa de muerte (Piñeiro, p. 67). </w:t>
      </w:r>
    </w:p>
    <w:p w:rsidR="00803CA4" w:rsidRDefault="00803CA4" w:rsidP="0078345E">
      <w:pPr>
        <w:tabs>
          <w:tab w:val="left" w:pos="1276"/>
        </w:tabs>
        <w:spacing w:after="0" w:line="360" w:lineRule="auto"/>
        <w:ind w:left="709" w:hanging="709"/>
        <w:rPr>
          <w:rFonts w:ascii="Times New Roman" w:eastAsia="Times New Roman" w:hAnsi="Times New Roman" w:cs="Times New Roman"/>
          <w:sz w:val="24"/>
          <w:szCs w:val="24"/>
          <w:lang w:eastAsia="es-PE"/>
        </w:rPr>
      </w:pPr>
    </w:p>
    <w:p w:rsidR="00803CA4" w:rsidRPr="002270B0" w:rsidRDefault="00CD38EB" w:rsidP="00CD38EB">
      <w:pPr>
        <w:pStyle w:val="Prrafodelista"/>
        <w:numPr>
          <w:ilvl w:val="0"/>
          <w:numId w:val="23"/>
        </w:numPr>
        <w:tabs>
          <w:tab w:val="left" w:pos="1276"/>
        </w:tabs>
        <w:spacing w:after="120" w:line="360" w:lineRule="auto"/>
        <w:ind w:left="851" w:hanging="851"/>
        <w:textAlignment w:val="baseline"/>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Figura 2.</w:t>
      </w:r>
      <w:r w:rsidR="00803CA4" w:rsidRPr="002270B0">
        <w:rPr>
          <w:rFonts w:ascii="Times New Roman" w:eastAsia="Times New Roman" w:hAnsi="Times New Roman" w:cs="Times New Roman"/>
          <w:color w:val="000000"/>
          <w:sz w:val="24"/>
          <w:szCs w:val="24"/>
          <w:lang w:eastAsia="es-PE"/>
        </w:rPr>
        <w:t xml:space="preserve">1 </w:t>
      </w:r>
      <w:r w:rsidR="00803CA4" w:rsidRPr="002270B0">
        <w:rPr>
          <w:rFonts w:ascii="Times New Roman" w:eastAsia="Times New Roman" w:hAnsi="Times New Roman" w:cs="Times New Roman"/>
          <w:color w:val="000000"/>
          <w:sz w:val="24"/>
          <w:szCs w:val="24"/>
          <w:lang w:eastAsia="es-PE"/>
        </w:rPr>
        <w:br/>
        <w:t xml:space="preserve">Indicadores de Entrada </w:t>
      </w:r>
    </w:p>
    <w:tbl>
      <w:tblPr>
        <w:tblStyle w:val="Tablaconcuadrcula"/>
        <w:tblW w:w="0" w:type="auto"/>
        <w:jc w:val="center"/>
        <w:tblLook w:val="04A0" w:firstRow="1" w:lastRow="0" w:firstColumn="1" w:lastColumn="0" w:noHBand="0" w:noVBand="1"/>
      </w:tblPr>
      <w:tblGrid>
        <w:gridCol w:w="4071"/>
        <w:gridCol w:w="3017"/>
      </w:tblGrid>
      <w:tr w:rsidR="007F4E38" w:rsidRPr="00FC2BFA" w:rsidTr="00EA7B94">
        <w:trPr>
          <w:trHeight w:val="188"/>
          <w:jc w:val="center"/>
        </w:trPr>
        <w:tc>
          <w:tcPr>
            <w:tcW w:w="4071" w:type="dxa"/>
            <w:tcBorders>
              <w:top w:val="single" w:sz="4" w:space="0" w:color="auto"/>
              <w:left w:val="nil"/>
              <w:bottom w:val="single" w:sz="4" w:space="0" w:color="auto"/>
              <w:right w:val="nil"/>
            </w:tcBorders>
            <w:vAlign w:val="center"/>
          </w:tcPr>
          <w:p w:rsidR="007F4E38" w:rsidRPr="00FC2BFA" w:rsidRDefault="007F4E38" w:rsidP="00DD2DFA">
            <w:pPr>
              <w:tabs>
                <w:tab w:val="left" w:pos="1276"/>
              </w:tabs>
              <w:spacing w:after="120" w:line="360" w:lineRule="auto"/>
              <w:jc w:val="both"/>
              <w:rPr>
                <w:rFonts w:ascii="Times New Roman" w:eastAsia="Times New Roman" w:hAnsi="Times New Roman" w:cs="Times New Roman"/>
                <w:sz w:val="24"/>
                <w:szCs w:val="24"/>
                <w:lang w:eastAsia="es-PE"/>
              </w:rPr>
            </w:pPr>
            <w:r w:rsidRPr="00FC2BFA">
              <w:rPr>
                <w:rFonts w:ascii="Times New Roman" w:eastAsia="Times New Roman" w:hAnsi="Times New Roman" w:cs="Times New Roman"/>
                <w:sz w:val="24"/>
                <w:szCs w:val="24"/>
                <w:lang w:eastAsia="es-PE"/>
              </w:rPr>
              <w:t xml:space="preserve">                       Indicador</w:t>
            </w:r>
          </w:p>
        </w:tc>
        <w:tc>
          <w:tcPr>
            <w:tcW w:w="3017" w:type="dxa"/>
            <w:tcBorders>
              <w:top w:val="single" w:sz="4" w:space="0" w:color="auto"/>
              <w:left w:val="nil"/>
              <w:bottom w:val="single" w:sz="4" w:space="0" w:color="auto"/>
              <w:right w:val="nil"/>
            </w:tcBorders>
            <w:vAlign w:val="center"/>
          </w:tcPr>
          <w:p w:rsidR="007F4E38" w:rsidRPr="00FC2BFA" w:rsidRDefault="007F4E38" w:rsidP="00DD2DFA">
            <w:pPr>
              <w:tabs>
                <w:tab w:val="left" w:pos="1276"/>
              </w:tabs>
              <w:spacing w:after="120" w:line="360" w:lineRule="auto"/>
              <w:jc w:val="both"/>
              <w:rPr>
                <w:rFonts w:ascii="Times New Roman" w:eastAsia="Times New Roman" w:hAnsi="Times New Roman" w:cs="Times New Roman"/>
                <w:sz w:val="24"/>
                <w:szCs w:val="24"/>
                <w:lang w:eastAsia="es-PE"/>
              </w:rPr>
            </w:pPr>
            <w:r w:rsidRPr="00FC2BFA">
              <w:rPr>
                <w:rFonts w:ascii="Times New Roman" w:eastAsia="Times New Roman" w:hAnsi="Times New Roman" w:cs="Times New Roman"/>
                <w:sz w:val="24"/>
                <w:szCs w:val="24"/>
                <w:lang w:eastAsia="es-PE"/>
              </w:rPr>
              <w:t>Cálculo</w:t>
            </w:r>
          </w:p>
        </w:tc>
      </w:tr>
      <w:tr w:rsidR="007F4E38" w:rsidRPr="00FC2BFA" w:rsidTr="00EA7B94">
        <w:trPr>
          <w:trHeight w:val="124"/>
          <w:jc w:val="center"/>
        </w:trPr>
        <w:tc>
          <w:tcPr>
            <w:tcW w:w="4071" w:type="dxa"/>
            <w:tcBorders>
              <w:top w:val="single" w:sz="4" w:space="0" w:color="auto"/>
              <w:left w:val="nil"/>
              <w:bottom w:val="nil"/>
              <w:right w:val="nil"/>
            </w:tcBorders>
            <w:vAlign w:val="center"/>
          </w:tcPr>
          <w:p w:rsidR="007F4E38" w:rsidRPr="00FC2BFA" w:rsidRDefault="007F4E38" w:rsidP="008E4E98">
            <w:pPr>
              <w:tabs>
                <w:tab w:val="left" w:pos="1276"/>
              </w:tabs>
              <w:spacing w:after="120" w:line="360" w:lineRule="auto"/>
              <w:rPr>
                <w:rFonts w:ascii="Times New Roman" w:eastAsia="Times New Roman" w:hAnsi="Times New Roman" w:cs="Times New Roman"/>
                <w:sz w:val="24"/>
                <w:szCs w:val="24"/>
                <w:lang w:eastAsia="es-PE"/>
              </w:rPr>
            </w:pPr>
            <w:r w:rsidRPr="00FC2BFA">
              <w:rPr>
                <w:rFonts w:ascii="Times New Roman" w:eastAsia="Times New Roman" w:hAnsi="Times New Roman" w:cs="Times New Roman"/>
                <w:sz w:val="24"/>
                <w:szCs w:val="24"/>
                <w:lang w:eastAsia="es-PE"/>
              </w:rPr>
              <w:t>Variables de entrada</w:t>
            </w:r>
          </w:p>
        </w:tc>
        <w:tc>
          <w:tcPr>
            <w:tcW w:w="3017" w:type="dxa"/>
            <w:tcBorders>
              <w:top w:val="single" w:sz="4" w:space="0" w:color="auto"/>
              <w:left w:val="nil"/>
              <w:bottom w:val="nil"/>
              <w:right w:val="nil"/>
            </w:tcBorders>
            <w:vAlign w:val="center"/>
          </w:tcPr>
          <w:p w:rsidR="007F4E38" w:rsidRPr="00FC2BFA" w:rsidRDefault="007F4E38" w:rsidP="00DD2DFA">
            <w:pPr>
              <w:tabs>
                <w:tab w:val="left" w:pos="1276"/>
              </w:tabs>
              <w:spacing w:after="120" w:line="360" w:lineRule="auto"/>
              <w:jc w:val="both"/>
              <w:rPr>
                <w:rFonts w:ascii="Times New Roman" w:eastAsia="Times New Roman" w:hAnsi="Times New Roman" w:cs="Times New Roman"/>
                <w:sz w:val="24"/>
                <w:szCs w:val="24"/>
                <w:lang w:eastAsia="es-PE"/>
              </w:rPr>
            </w:pPr>
          </w:p>
        </w:tc>
      </w:tr>
      <w:tr w:rsidR="007F4E38" w:rsidRPr="00FC2BFA" w:rsidTr="00EA7B94">
        <w:trPr>
          <w:trHeight w:val="295"/>
          <w:jc w:val="center"/>
        </w:trPr>
        <w:tc>
          <w:tcPr>
            <w:tcW w:w="4071" w:type="dxa"/>
            <w:tcBorders>
              <w:top w:val="nil"/>
              <w:left w:val="nil"/>
              <w:bottom w:val="nil"/>
              <w:right w:val="nil"/>
            </w:tcBorders>
            <w:vAlign w:val="center"/>
          </w:tcPr>
          <w:p w:rsidR="007F4E38" w:rsidRPr="00FC2BFA" w:rsidRDefault="007F4E38" w:rsidP="008E4E98">
            <w:pPr>
              <w:tabs>
                <w:tab w:val="left" w:pos="1276"/>
              </w:tabs>
              <w:spacing w:after="120" w:line="360" w:lineRule="auto"/>
              <w:rPr>
                <w:rFonts w:ascii="Times New Roman" w:eastAsia="Times New Roman" w:hAnsi="Times New Roman" w:cs="Times New Roman"/>
                <w:sz w:val="24"/>
                <w:szCs w:val="24"/>
                <w:lang w:eastAsia="es-PE"/>
              </w:rPr>
            </w:pPr>
            <w:r w:rsidRPr="00FC2BFA">
              <w:rPr>
                <w:rFonts w:ascii="Times New Roman" w:eastAsia="Times New Roman" w:hAnsi="Times New Roman" w:cs="Times New Roman"/>
                <w:sz w:val="24"/>
                <w:szCs w:val="24"/>
                <w:lang w:eastAsia="es-PE"/>
              </w:rPr>
              <w:t>EMA15</w:t>
            </w:r>
          </w:p>
        </w:tc>
        <w:tc>
          <w:tcPr>
            <w:tcW w:w="3017" w:type="dxa"/>
            <w:tcBorders>
              <w:top w:val="nil"/>
              <w:left w:val="nil"/>
              <w:bottom w:val="nil"/>
              <w:right w:val="nil"/>
            </w:tcBorders>
            <w:vAlign w:val="center"/>
          </w:tcPr>
          <w:p w:rsidR="007F4E38" w:rsidRPr="00FC2BFA" w:rsidRDefault="007F4E38" w:rsidP="00DD2DFA">
            <w:pPr>
              <w:tabs>
                <w:tab w:val="left" w:pos="1276"/>
              </w:tabs>
              <w:spacing w:after="120" w:line="360" w:lineRule="auto"/>
              <w:jc w:val="both"/>
              <w:rPr>
                <w:rFonts w:ascii="Times New Roman" w:eastAsia="Times New Roman" w:hAnsi="Times New Roman" w:cs="Times New Roman"/>
                <w:i/>
                <w:sz w:val="24"/>
                <w:szCs w:val="24"/>
                <w:lang w:eastAsia="es-PE"/>
              </w:rPr>
            </w:pPr>
            <w:r w:rsidRPr="00FC2BFA">
              <w:rPr>
                <w:rFonts w:ascii="Times New Roman" w:eastAsia="Times New Roman" w:hAnsi="Times New Roman" w:cs="Times New Roman"/>
                <w:i/>
                <w:sz w:val="24"/>
                <w:szCs w:val="24"/>
                <w:lang w:eastAsia="es-PE"/>
              </w:rPr>
              <w:t>P(i) – EMA (i)</w:t>
            </w:r>
          </w:p>
        </w:tc>
      </w:tr>
      <w:tr w:rsidR="007F4E38" w:rsidRPr="00FC2BFA" w:rsidTr="00EA7B94">
        <w:trPr>
          <w:trHeight w:val="346"/>
          <w:jc w:val="center"/>
        </w:trPr>
        <w:tc>
          <w:tcPr>
            <w:tcW w:w="4071" w:type="dxa"/>
            <w:tcBorders>
              <w:top w:val="nil"/>
              <w:left w:val="nil"/>
              <w:bottom w:val="nil"/>
              <w:right w:val="nil"/>
            </w:tcBorders>
            <w:vAlign w:val="center"/>
          </w:tcPr>
          <w:p w:rsidR="007F4E38" w:rsidRPr="00FC2BFA" w:rsidRDefault="007F4E38" w:rsidP="008E4E98">
            <w:pPr>
              <w:tabs>
                <w:tab w:val="left" w:pos="1276"/>
              </w:tabs>
              <w:spacing w:after="120" w:line="360" w:lineRule="auto"/>
              <w:rPr>
                <w:rFonts w:ascii="Times New Roman" w:eastAsia="Times New Roman" w:hAnsi="Times New Roman" w:cs="Times New Roman"/>
                <w:sz w:val="24"/>
                <w:szCs w:val="24"/>
                <w:lang w:eastAsia="es-PE"/>
              </w:rPr>
            </w:pPr>
            <w:r w:rsidRPr="00FC2BFA">
              <w:rPr>
                <w:rFonts w:ascii="Times New Roman" w:eastAsia="Times New Roman" w:hAnsi="Times New Roman" w:cs="Times New Roman"/>
                <w:sz w:val="24"/>
                <w:szCs w:val="24"/>
                <w:lang w:eastAsia="es-PE"/>
              </w:rPr>
              <w:t>RDP-5</w:t>
            </w:r>
          </w:p>
        </w:tc>
        <w:tc>
          <w:tcPr>
            <w:tcW w:w="3017" w:type="dxa"/>
            <w:tcBorders>
              <w:top w:val="nil"/>
              <w:left w:val="nil"/>
              <w:bottom w:val="nil"/>
              <w:right w:val="nil"/>
            </w:tcBorders>
            <w:vAlign w:val="center"/>
          </w:tcPr>
          <w:p w:rsidR="007F4E38" w:rsidRPr="00FC2BFA" w:rsidRDefault="007F4E38" w:rsidP="00DD2DFA">
            <w:pPr>
              <w:tabs>
                <w:tab w:val="left" w:pos="1276"/>
              </w:tabs>
              <w:spacing w:after="120" w:line="360" w:lineRule="auto"/>
              <w:jc w:val="both"/>
              <w:rPr>
                <w:rFonts w:ascii="Times New Roman" w:eastAsia="Times New Roman" w:hAnsi="Times New Roman" w:cs="Times New Roman"/>
                <w:i/>
                <w:sz w:val="24"/>
                <w:szCs w:val="24"/>
                <w:lang w:eastAsia="es-PE"/>
              </w:rPr>
            </w:pPr>
            <w:r w:rsidRPr="00FC2BFA">
              <w:rPr>
                <w:rFonts w:ascii="Times New Roman" w:eastAsia="Times New Roman" w:hAnsi="Times New Roman" w:cs="Times New Roman"/>
                <w:i/>
                <w:sz w:val="24"/>
                <w:szCs w:val="24"/>
                <w:lang w:eastAsia="es-PE"/>
              </w:rPr>
              <w:t>(p(i) – p(i-5)/p (i-5)*</w:t>
            </w:r>
            <w:r w:rsidRPr="00FC2BFA">
              <w:rPr>
                <w:rFonts w:ascii="Times New Roman" w:eastAsia="Times New Roman" w:hAnsi="Times New Roman" w:cs="Times New Roman"/>
                <w:sz w:val="24"/>
                <w:szCs w:val="24"/>
                <w:lang w:eastAsia="es-PE"/>
              </w:rPr>
              <w:t>100</w:t>
            </w:r>
          </w:p>
        </w:tc>
      </w:tr>
      <w:tr w:rsidR="007F4E38" w:rsidRPr="00FC2BFA" w:rsidTr="00EA7B94">
        <w:trPr>
          <w:trHeight w:val="257"/>
          <w:jc w:val="center"/>
        </w:trPr>
        <w:tc>
          <w:tcPr>
            <w:tcW w:w="4071" w:type="dxa"/>
            <w:tcBorders>
              <w:top w:val="nil"/>
              <w:left w:val="nil"/>
              <w:bottom w:val="nil"/>
              <w:right w:val="nil"/>
            </w:tcBorders>
            <w:vAlign w:val="center"/>
          </w:tcPr>
          <w:p w:rsidR="007F4E38" w:rsidRPr="00FC2BFA" w:rsidRDefault="007F4E38" w:rsidP="008E4E98">
            <w:pPr>
              <w:tabs>
                <w:tab w:val="left" w:pos="1276"/>
              </w:tabs>
              <w:spacing w:after="120" w:line="360" w:lineRule="auto"/>
              <w:rPr>
                <w:rFonts w:ascii="Times New Roman" w:eastAsia="Times New Roman" w:hAnsi="Times New Roman" w:cs="Times New Roman"/>
                <w:sz w:val="24"/>
                <w:szCs w:val="24"/>
                <w:lang w:eastAsia="es-PE"/>
              </w:rPr>
            </w:pPr>
            <w:r w:rsidRPr="00FC2BFA">
              <w:rPr>
                <w:rFonts w:ascii="Times New Roman" w:eastAsia="Times New Roman" w:hAnsi="Times New Roman" w:cs="Times New Roman"/>
                <w:sz w:val="24"/>
                <w:szCs w:val="24"/>
                <w:lang w:eastAsia="es-PE"/>
              </w:rPr>
              <w:t>RDP-10</w:t>
            </w:r>
          </w:p>
        </w:tc>
        <w:tc>
          <w:tcPr>
            <w:tcW w:w="3017" w:type="dxa"/>
            <w:tcBorders>
              <w:top w:val="nil"/>
              <w:left w:val="nil"/>
              <w:bottom w:val="nil"/>
              <w:right w:val="nil"/>
            </w:tcBorders>
            <w:vAlign w:val="center"/>
          </w:tcPr>
          <w:p w:rsidR="007F4E38" w:rsidRPr="00FC2BFA" w:rsidRDefault="007F4E38" w:rsidP="00DD2DFA">
            <w:pPr>
              <w:tabs>
                <w:tab w:val="left" w:pos="1276"/>
              </w:tabs>
              <w:spacing w:after="120" w:line="360" w:lineRule="auto"/>
              <w:jc w:val="both"/>
              <w:rPr>
                <w:rFonts w:ascii="Times New Roman" w:eastAsia="Times New Roman" w:hAnsi="Times New Roman" w:cs="Times New Roman"/>
                <w:i/>
                <w:sz w:val="24"/>
                <w:szCs w:val="24"/>
                <w:lang w:eastAsia="es-PE"/>
              </w:rPr>
            </w:pPr>
            <w:r w:rsidRPr="00FC2BFA">
              <w:rPr>
                <w:rFonts w:ascii="Times New Roman" w:eastAsia="Times New Roman" w:hAnsi="Times New Roman" w:cs="Times New Roman"/>
                <w:i/>
                <w:sz w:val="24"/>
                <w:szCs w:val="24"/>
                <w:lang w:eastAsia="es-PE"/>
              </w:rPr>
              <w:t>(p(i) – p(i-5)/p (i-10)*</w:t>
            </w:r>
            <w:r w:rsidRPr="00FC2BFA">
              <w:rPr>
                <w:rFonts w:ascii="Times New Roman" w:eastAsia="Times New Roman" w:hAnsi="Times New Roman" w:cs="Times New Roman"/>
                <w:sz w:val="24"/>
                <w:szCs w:val="24"/>
                <w:lang w:eastAsia="es-PE"/>
              </w:rPr>
              <w:t>100</w:t>
            </w:r>
          </w:p>
        </w:tc>
      </w:tr>
      <w:tr w:rsidR="007F4E38" w:rsidRPr="00FC2BFA" w:rsidTr="00EA7B94">
        <w:trPr>
          <w:trHeight w:val="207"/>
          <w:jc w:val="center"/>
        </w:trPr>
        <w:tc>
          <w:tcPr>
            <w:tcW w:w="4071" w:type="dxa"/>
            <w:tcBorders>
              <w:top w:val="nil"/>
              <w:left w:val="nil"/>
              <w:bottom w:val="nil"/>
              <w:right w:val="nil"/>
            </w:tcBorders>
            <w:vAlign w:val="center"/>
          </w:tcPr>
          <w:p w:rsidR="007F4E38" w:rsidRPr="00FC2BFA" w:rsidRDefault="007F4E38" w:rsidP="008E4E98">
            <w:pPr>
              <w:tabs>
                <w:tab w:val="left" w:pos="1276"/>
              </w:tabs>
              <w:spacing w:after="120" w:line="360" w:lineRule="auto"/>
              <w:rPr>
                <w:rFonts w:ascii="Times New Roman" w:eastAsia="Times New Roman" w:hAnsi="Times New Roman" w:cs="Times New Roman"/>
                <w:sz w:val="24"/>
                <w:szCs w:val="24"/>
                <w:lang w:eastAsia="es-PE"/>
              </w:rPr>
            </w:pPr>
            <w:r w:rsidRPr="00FC2BFA">
              <w:rPr>
                <w:rFonts w:ascii="Times New Roman" w:eastAsia="Times New Roman" w:hAnsi="Times New Roman" w:cs="Times New Roman"/>
                <w:sz w:val="24"/>
                <w:szCs w:val="24"/>
                <w:lang w:eastAsia="es-PE"/>
              </w:rPr>
              <w:t>RDP-15</w:t>
            </w:r>
          </w:p>
        </w:tc>
        <w:tc>
          <w:tcPr>
            <w:tcW w:w="3017" w:type="dxa"/>
            <w:tcBorders>
              <w:top w:val="nil"/>
              <w:left w:val="nil"/>
              <w:bottom w:val="nil"/>
              <w:right w:val="nil"/>
            </w:tcBorders>
            <w:vAlign w:val="center"/>
          </w:tcPr>
          <w:p w:rsidR="007F4E38" w:rsidRPr="00FC2BFA" w:rsidRDefault="007F4E38" w:rsidP="00DD2DFA">
            <w:pPr>
              <w:tabs>
                <w:tab w:val="left" w:pos="1276"/>
              </w:tabs>
              <w:spacing w:after="120" w:line="360" w:lineRule="auto"/>
              <w:jc w:val="both"/>
              <w:rPr>
                <w:rFonts w:ascii="Times New Roman" w:eastAsia="Times New Roman" w:hAnsi="Times New Roman" w:cs="Times New Roman"/>
                <w:i/>
                <w:sz w:val="24"/>
                <w:szCs w:val="24"/>
                <w:lang w:eastAsia="es-PE"/>
              </w:rPr>
            </w:pPr>
            <w:r w:rsidRPr="00FC2BFA">
              <w:rPr>
                <w:rFonts w:ascii="Times New Roman" w:eastAsia="Times New Roman" w:hAnsi="Times New Roman" w:cs="Times New Roman"/>
                <w:i/>
                <w:sz w:val="24"/>
                <w:szCs w:val="24"/>
                <w:lang w:eastAsia="es-PE"/>
              </w:rPr>
              <w:t>(p(i) – p(i-5)/p (i-15)*</w:t>
            </w:r>
            <w:r w:rsidRPr="00FC2BFA">
              <w:rPr>
                <w:rFonts w:ascii="Times New Roman" w:eastAsia="Times New Roman" w:hAnsi="Times New Roman" w:cs="Times New Roman"/>
                <w:sz w:val="24"/>
                <w:szCs w:val="24"/>
                <w:lang w:eastAsia="es-PE"/>
              </w:rPr>
              <w:t>100</w:t>
            </w:r>
          </w:p>
        </w:tc>
      </w:tr>
      <w:tr w:rsidR="007F4E38" w:rsidRPr="00FC2BFA" w:rsidTr="00EA7B94">
        <w:trPr>
          <w:trHeight w:val="171"/>
          <w:jc w:val="center"/>
        </w:trPr>
        <w:tc>
          <w:tcPr>
            <w:tcW w:w="4071" w:type="dxa"/>
            <w:tcBorders>
              <w:top w:val="nil"/>
              <w:left w:val="nil"/>
              <w:bottom w:val="nil"/>
              <w:right w:val="nil"/>
            </w:tcBorders>
            <w:vAlign w:val="center"/>
          </w:tcPr>
          <w:p w:rsidR="007F4E38" w:rsidRPr="00FC2BFA" w:rsidRDefault="007F4E38" w:rsidP="008E4E98">
            <w:pPr>
              <w:tabs>
                <w:tab w:val="left" w:pos="1276"/>
              </w:tabs>
              <w:spacing w:after="120" w:line="360" w:lineRule="auto"/>
              <w:rPr>
                <w:rFonts w:ascii="Times New Roman" w:eastAsia="Times New Roman" w:hAnsi="Times New Roman" w:cs="Times New Roman"/>
                <w:sz w:val="24"/>
                <w:szCs w:val="24"/>
                <w:lang w:eastAsia="es-PE"/>
              </w:rPr>
            </w:pPr>
            <w:r w:rsidRPr="00FC2BFA">
              <w:rPr>
                <w:rFonts w:ascii="Times New Roman" w:eastAsia="Times New Roman" w:hAnsi="Times New Roman" w:cs="Times New Roman"/>
                <w:sz w:val="24"/>
                <w:szCs w:val="24"/>
                <w:lang w:eastAsia="es-PE"/>
              </w:rPr>
              <w:t>RDP-20</w:t>
            </w:r>
          </w:p>
        </w:tc>
        <w:tc>
          <w:tcPr>
            <w:tcW w:w="3017" w:type="dxa"/>
            <w:tcBorders>
              <w:top w:val="nil"/>
              <w:left w:val="nil"/>
              <w:bottom w:val="nil"/>
              <w:right w:val="nil"/>
            </w:tcBorders>
            <w:vAlign w:val="center"/>
          </w:tcPr>
          <w:p w:rsidR="007F4E38" w:rsidRPr="00FC2BFA" w:rsidRDefault="007F4E38" w:rsidP="00DD2DFA">
            <w:pPr>
              <w:tabs>
                <w:tab w:val="left" w:pos="1276"/>
              </w:tabs>
              <w:spacing w:after="120" w:line="360" w:lineRule="auto"/>
              <w:jc w:val="both"/>
              <w:rPr>
                <w:rFonts w:ascii="Times New Roman" w:eastAsia="Times New Roman" w:hAnsi="Times New Roman" w:cs="Times New Roman"/>
                <w:i/>
                <w:sz w:val="24"/>
                <w:szCs w:val="24"/>
                <w:lang w:eastAsia="es-PE"/>
              </w:rPr>
            </w:pPr>
            <w:r w:rsidRPr="00FC2BFA">
              <w:rPr>
                <w:rFonts w:ascii="Times New Roman" w:eastAsia="Times New Roman" w:hAnsi="Times New Roman" w:cs="Times New Roman"/>
                <w:i/>
                <w:sz w:val="24"/>
                <w:szCs w:val="24"/>
                <w:lang w:eastAsia="es-PE"/>
              </w:rPr>
              <w:t>(p(i) – p(i-5)/p (i-20)*</w:t>
            </w:r>
            <w:r w:rsidRPr="00FC2BFA">
              <w:rPr>
                <w:rFonts w:ascii="Times New Roman" w:eastAsia="Times New Roman" w:hAnsi="Times New Roman" w:cs="Times New Roman"/>
                <w:sz w:val="24"/>
                <w:szCs w:val="24"/>
                <w:lang w:eastAsia="es-PE"/>
              </w:rPr>
              <w:t>100</w:t>
            </w:r>
          </w:p>
        </w:tc>
      </w:tr>
      <w:tr w:rsidR="007F4E38" w:rsidRPr="00FC2BFA" w:rsidTr="00EA7B94">
        <w:trPr>
          <w:trHeight w:val="320"/>
          <w:jc w:val="center"/>
        </w:trPr>
        <w:tc>
          <w:tcPr>
            <w:tcW w:w="4071" w:type="dxa"/>
            <w:tcBorders>
              <w:top w:val="nil"/>
              <w:left w:val="nil"/>
              <w:bottom w:val="nil"/>
              <w:right w:val="nil"/>
            </w:tcBorders>
            <w:vAlign w:val="center"/>
          </w:tcPr>
          <w:p w:rsidR="007F4E38" w:rsidRPr="00FC2BFA" w:rsidRDefault="007F4E38" w:rsidP="008E4E98">
            <w:pPr>
              <w:tabs>
                <w:tab w:val="left" w:pos="1276"/>
              </w:tabs>
              <w:spacing w:after="120" w:line="360" w:lineRule="auto"/>
              <w:rPr>
                <w:rFonts w:ascii="Times New Roman" w:eastAsia="Times New Roman" w:hAnsi="Times New Roman" w:cs="Times New Roman"/>
                <w:sz w:val="24"/>
                <w:szCs w:val="24"/>
                <w:lang w:eastAsia="es-PE"/>
              </w:rPr>
            </w:pPr>
            <w:r w:rsidRPr="00FC2BFA">
              <w:rPr>
                <w:rFonts w:ascii="Times New Roman" w:eastAsia="Times New Roman" w:hAnsi="Times New Roman" w:cs="Times New Roman"/>
                <w:sz w:val="24"/>
                <w:szCs w:val="24"/>
                <w:lang w:eastAsia="es-PE"/>
              </w:rPr>
              <w:t>Variables de salida</w:t>
            </w:r>
          </w:p>
        </w:tc>
        <w:tc>
          <w:tcPr>
            <w:tcW w:w="3017" w:type="dxa"/>
            <w:tcBorders>
              <w:top w:val="nil"/>
              <w:left w:val="nil"/>
              <w:bottom w:val="nil"/>
              <w:right w:val="nil"/>
            </w:tcBorders>
            <w:vAlign w:val="center"/>
          </w:tcPr>
          <w:p w:rsidR="007F4E38" w:rsidRPr="00FC2BFA" w:rsidRDefault="007F4E38" w:rsidP="00DD2DFA">
            <w:pPr>
              <w:tabs>
                <w:tab w:val="left" w:pos="1276"/>
              </w:tabs>
              <w:spacing w:after="120" w:line="360" w:lineRule="auto"/>
              <w:jc w:val="both"/>
              <w:rPr>
                <w:rFonts w:ascii="Times New Roman" w:eastAsia="Times New Roman" w:hAnsi="Times New Roman" w:cs="Times New Roman"/>
                <w:i/>
                <w:sz w:val="24"/>
                <w:szCs w:val="24"/>
                <w:lang w:eastAsia="es-PE"/>
              </w:rPr>
            </w:pPr>
          </w:p>
        </w:tc>
      </w:tr>
      <w:tr w:rsidR="007F4E38" w:rsidRPr="00FC2BFA" w:rsidTr="00EA7B94">
        <w:trPr>
          <w:trHeight w:val="240"/>
          <w:jc w:val="center"/>
        </w:trPr>
        <w:tc>
          <w:tcPr>
            <w:tcW w:w="4071" w:type="dxa"/>
            <w:tcBorders>
              <w:top w:val="nil"/>
              <w:left w:val="nil"/>
              <w:bottom w:val="single" w:sz="4" w:space="0" w:color="auto"/>
              <w:right w:val="nil"/>
            </w:tcBorders>
            <w:vAlign w:val="center"/>
          </w:tcPr>
          <w:p w:rsidR="007F4E38" w:rsidRPr="00FC2BFA" w:rsidRDefault="007F4E38" w:rsidP="008E4E98">
            <w:pPr>
              <w:tabs>
                <w:tab w:val="left" w:pos="1276"/>
              </w:tabs>
              <w:spacing w:after="120" w:line="360" w:lineRule="auto"/>
              <w:rPr>
                <w:rFonts w:ascii="Times New Roman" w:eastAsia="Times New Roman" w:hAnsi="Times New Roman" w:cs="Times New Roman"/>
                <w:sz w:val="24"/>
                <w:szCs w:val="24"/>
                <w:lang w:eastAsia="es-PE"/>
              </w:rPr>
            </w:pPr>
            <w:r w:rsidRPr="00FC2BFA">
              <w:rPr>
                <w:rFonts w:ascii="Times New Roman" w:eastAsia="Times New Roman" w:hAnsi="Times New Roman" w:cs="Times New Roman"/>
                <w:sz w:val="24"/>
                <w:szCs w:val="24"/>
                <w:lang w:eastAsia="es-PE"/>
              </w:rPr>
              <w:t>RDP+5</w:t>
            </w:r>
          </w:p>
        </w:tc>
        <w:tc>
          <w:tcPr>
            <w:tcW w:w="3017" w:type="dxa"/>
            <w:tcBorders>
              <w:top w:val="nil"/>
              <w:left w:val="nil"/>
              <w:bottom w:val="single" w:sz="4" w:space="0" w:color="auto"/>
              <w:right w:val="nil"/>
            </w:tcBorders>
            <w:vAlign w:val="center"/>
          </w:tcPr>
          <w:p w:rsidR="007F4E38" w:rsidRPr="00FC2BFA" w:rsidRDefault="007F4E38" w:rsidP="00DD2DFA">
            <w:pPr>
              <w:tabs>
                <w:tab w:val="left" w:pos="1276"/>
              </w:tabs>
              <w:spacing w:after="120" w:line="360" w:lineRule="auto"/>
              <w:jc w:val="both"/>
              <w:rPr>
                <w:rFonts w:ascii="Times New Roman" w:eastAsia="Times New Roman" w:hAnsi="Times New Roman" w:cs="Times New Roman"/>
                <w:i/>
                <w:sz w:val="24"/>
                <w:szCs w:val="24"/>
                <w:lang w:eastAsia="es-PE"/>
              </w:rPr>
            </w:pPr>
            <w:r w:rsidRPr="00FC2BFA">
              <w:rPr>
                <w:rFonts w:ascii="Times New Roman" w:eastAsia="Times New Roman" w:hAnsi="Times New Roman" w:cs="Times New Roman"/>
                <w:i/>
                <w:sz w:val="24"/>
                <w:szCs w:val="24"/>
                <w:lang w:eastAsia="es-PE"/>
              </w:rPr>
              <w:t>(p(i+5) – p(i)/p (i)*</w:t>
            </w:r>
            <w:r w:rsidRPr="00FC2BFA">
              <w:rPr>
                <w:rFonts w:ascii="Times New Roman" w:eastAsia="Times New Roman" w:hAnsi="Times New Roman" w:cs="Times New Roman"/>
                <w:sz w:val="24"/>
                <w:szCs w:val="24"/>
                <w:lang w:eastAsia="es-PE"/>
              </w:rPr>
              <w:t>100</w:t>
            </w:r>
          </w:p>
        </w:tc>
      </w:tr>
    </w:tbl>
    <w:p w:rsidR="00803CA4" w:rsidRPr="002270B0" w:rsidRDefault="007F4E38" w:rsidP="00DE1784">
      <w:pPr>
        <w:tabs>
          <w:tab w:val="left" w:pos="1276"/>
        </w:tabs>
        <w:spacing w:after="120" w:line="360" w:lineRule="auto"/>
        <w:ind w:left="709"/>
        <w:rPr>
          <w:rFonts w:ascii="Times New Roman" w:eastAsia="Times New Roman" w:hAnsi="Times New Roman" w:cs="Times New Roman"/>
          <w:sz w:val="20"/>
          <w:szCs w:val="20"/>
          <w:lang w:eastAsia="es-PE"/>
        </w:rPr>
      </w:pPr>
      <w:r w:rsidRPr="00FC2BFA">
        <w:rPr>
          <w:rFonts w:ascii="Times New Roman" w:eastAsia="Times New Roman" w:hAnsi="Times New Roman" w:cs="Times New Roman"/>
          <w:sz w:val="24"/>
          <w:szCs w:val="24"/>
          <w:lang w:eastAsia="es-PE"/>
        </w:rPr>
        <w:t xml:space="preserve"> </w:t>
      </w:r>
      <w:r w:rsidR="002270B0">
        <w:rPr>
          <w:rFonts w:ascii="Times New Roman" w:eastAsia="Times New Roman" w:hAnsi="Times New Roman" w:cs="Times New Roman"/>
          <w:sz w:val="24"/>
          <w:szCs w:val="24"/>
          <w:lang w:eastAsia="es-PE"/>
        </w:rPr>
        <w:t xml:space="preserve">  </w:t>
      </w:r>
      <w:r w:rsidR="00803CA4" w:rsidRPr="002270B0">
        <w:rPr>
          <w:rFonts w:ascii="Times New Roman" w:eastAsia="Times New Roman" w:hAnsi="Times New Roman" w:cs="Times New Roman"/>
          <w:color w:val="000000"/>
          <w:sz w:val="20"/>
          <w:szCs w:val="20"/>
          <w:lang w:eastAsia="es-PE"/>
        </w:rPr>
        <w:t xml:space="preserve">Fuente: Tay, F. E., &amp; Cao, L. (2001). </w:t>
      </w:r>
      <w:r w:rsidR="00803CA4" w:rsidRPr="002270B0">
        <w:rPr>
          <w:rFonts w:ascii="Times New Roman" w:eastAsia="Times New Roman" w:hAnsi="Times New Roman" w:cs="Times New Roman"/>
          <w:color w:val="000000"/>
          <w:sz w:val="20"/>
          <w:szCs w:val="20"/>
          <w:lang w:val="en-US" w:eastAsia="es-PE"/>
        </w:rPr>
        <w:t xml:space="preserve">Application of support vector machines in financial time </w:t>
      </w:r>
      <w:r w:rsidR="00DE1784">
        <w:rPr>
          <w:rFonts w:ascii="Times New Roman" w:eastAsia="Times New Roman" w:hAnsi="Times New Roman" w:cs="Times New Roman"/>
          <w:color w:val="000000"/>
          <w:sz w:val="20"/>
          <w:szCs w:val="20"/>
          <w:lang w:val="en-US" w:eastAsia="es-PE"/>
        </w:rPr>
        <w:t xml:space="preserve">  </w:t>
      </w:r>
      <w:r w:rsidR="00DE1784">
        <w:rPr>
          <w:rFonts w:ascii="Times New Roman" w:eastAsia="Times New Roman" w:hAnsi="Times New Roman" w:cs="Times New Roman"/>
          <w:color w:val="000000"/>
          <w:sz w:val="20"/>
          <w:szCs w:val="20"/>
          <w:lang w:val="en-US" w:eastAsia="es-PE"/>
        </w:rPr>
        <w:br/>
        <w:t xml:space="preserve">    </w:t>
      </w:r>
      <w:r w:rsidR="00803CA4" w:rsidRPr="002270B0">
        <w:rPr>
          <w:rFonts w:ascii="Times New Roman" w:eastAsia="Times New Roman" w:hAnsi="Times New Roman" w:cs="Times New Roman"/>
          <w:color w:val="000000"/>
          <w:sz w:val="20"/>
          <w:szCs w:val="20"/>
          <w:lang w:val="en-US" w:eastAsia="es-PE"/>
        </w:rPr>
        <w:t>series</w:t>
      </w:r>
      <w:r w:rsidR="00DE1784">
        <w:rPr>
          <w:rFonts w:ascii="Times New Roman" w:eastAsia="Times New Roman" w:hAnsi="Times New Roman" w:cs="Times New Roman"/>
          <w:color w:val="000000"/>
          <w:sz w:val="20"/>
          <w:szCs w:val="20"/>
          <w:lang w:val="en-US" w:eastAsia="es-PE"/>
        </w:rPr>
        <w:t xml:space="preserve"> </w:t>
      </w:r>
      <w:r w:rsidR="00803CA4" w:rsidRPr="002270B0">
        <w:rPr>
          <w:rFonts w:ascii="Times New Roman" w:eastAsia="Times New Roman" w:hAnsi="Times New Roman" w:cs="Times New Roman"/>
          <w:color w:val="000000"/>
          <w:sz w:val="20"/>
          <w:szCs w:val="20"/>
          <w:lang w:val="en-US" w:eastAsia="es-PE"/>
        </w:rPr>
        <w:t xml:space="preserve">forecasting. </w:t>
      </w:r>
      <w:r w:rsidR="00803CA4" w:rsidRPr="002270B0">
        <w:rPr>
          <w:rFonts w:ascii="Times New Roman" w:eastAsia="Times New Roman" w:hAnsi="Times New Roman" w:cs="Times New Roman"/>
          <w:color w:val="000000"/>
          <w:sz w:val="20"/>
          <w:szCs w:val="20"/>
          <w:lang w:eastAsia="es-PE"/>
        </w:rPr>
        <w:t>Omega, 29(4), 309-317.</w:t>
      </w:r>
    </w:p>
    <w:p w:rsidR="00803CA4" w:rsidRPr="00FC2BFA" w:rsidRDefault="00803CA4" w:rsidP="00CD38EB">
      <w:pPr>
        <w:tabs>
          <w:tab w:val="left" w:pos="1276"/>
        </w:tabs>
        <w:spacing w:after="240" w:line="360" w:lineRule="auto"/>
        <w:ind w:left="426" w:hanging="426"/>
        <w:rPr>
          <w:rFonts w:ascii="Times New Roman" w:eastAsia="Times New Roman" w:hAnsi="Times New Roman" w:cs="Times New Roman"/>
          <w:sz w:val="24"/>
          <w:szCs w:val="24"/>
          <w:lang w:eastAsia="es-PE"/>
        </w:rPr>
      </w:pPr>
    </w:p>
    <w:p w:rsidR="00FC2BFA" w:rsidRDefault="00FC2BFA" w:rsidP="00CD38EB">
      <w:pPr>
        <w:pStyle w:val="Prrafodelista"/>
        <w:numPr>
          <w:ilvl w:val="0"/>
          <w:numId w:val="23"/>
        </w:numPr>
        <w:tabs>
          <w:tab w:val="left" w:pos="1276"/>
        </w:tabs>
        <w:spacing w:after="240" w:line="360" w:lineRule="auto"/>
        <w:ind w:left="426" w:hanging="426"/>
        <w:rPr>
          <w:rFonts w:ascii="Times New Roman" w:eastAsia="Times New Roman" w:hAnsi="Times New Roman" w:cs="Times New Roman"/>
          <w:sz w:val="24"/>
          <w:szCs w:val="24"/>
          <w:lang w:eastAsia="es-PE"/>
        </w:rPr>
      </w:pPr>
      <w:r w:rsidRPr="002270B0">
        <w:rPr>
          <w:rFonts w:ascii="Times New Roman" w:eastAsia="Times New Roman" w:hAnsi="Times New Roman" w:cs="Times New Roman"/>
          <w:sz w:val="24"/>
          <w:szCs w:val="24"/>
          <w:lang w:eastAsia="es-PE"/>
        </w:rPr>
        <w:t>El valor de mercado de la firma apalancada es igual al valor de mercado de la firma sin apalancamiento, más la tasa impositiva multiplicada por el costo de la deuda, menos el valor presente de los costos de bancarrota multiplicado por el complemento de la tasa impositiva (Kraus, J., 2016, 2014, 2008)</w:t>
      </w:r>
      <w:r w:rsidR="00DE1784">
        <w:rPr>
          <w:rFonts w:ascii="Times New Roman" w:eastAsia="Times New Roman" w:hAnsi="Times New Roman" w:cs="Times New Roman"/>
          <w:sz w:val="24"/>
          <w:szCs w:val="24"/>
          <w:lang w:eastAsia="es-PE"/>
        </w:rPr>
        <w:br/>
      </w:r>
    </w:p>
    <w:p w:rsidR="002270B0" w:rsidRPr="002270B0" w:rsidRDefault="002270B0" w:rsidP="00CD38EB">
      <w:pPr>
        <w:pStyle w:val="Prrafodelista"/>
        <w:tabs>
          <w:tab w:val="left" w:pos="1276"/>
        </w:tabs>
        <w:spacing w:after="240" w:line="360" w:lineRule="auto"/>
        <w:ind w:left="426" w:hanging="426"/>
        <w:rPr>
          <w:rFonts w:ascii="Times New Roman" w:eastAsia="Times New Roman" w:hAnsi="Times New Roman" w:cs="Times New Roman"/>
          <w:sz w:val="24"/>
          <w:szCs w:val="24"/>
          <w:lang w:eastAsia="es-PE"/>
        </w:rPr>
      </w:pPr>
    </w:p>
    <w:p w:rsidR="002270B0" w:rsidRPr="00CD38EB" w:rsidRDefault="00803CA4" w:rsidP="00AA7213">
      <w:pPr>
        <w:pStyle w:val="Prrafodelista"/>
        <w:numPr>
          <w:ilvl w:val="0"/>
          <w:numId w:val="23"/>
        </w:numPr>
        <w:tabs>
          <w:tab w:val="left" w:pos="1276"/>
        </w:tabs>
        <w:spacing w:after="120" w:line="360" w:lineRule="auto"/>
        <w:ind w:left="426" w:hanging="426"/>
        <w:rPr>
          <w:rFonts w:ascii="Times New Roman" w:eastAsia="Times New Roman" w:hAnsi="Times New Roman" w:cs="Times New Roman"/>
          <w:color w:val="000000"/>
          <w:sz w:val="24"/>
          <w:szCs w:val="24"/>
          <w:lang w:eastAsia="es-PE"/>
        </w:rPr>
      </w:pPr>
      <w:r w:rsidRPr="00CD38EB">
        <w:rPr>
          <w:rFonts w:ascii="Times New Roman" w:eastAsia="Times New Roman" w:hAnsi="Times New Roman" w:cs="Times New Roman"/>
          <w:color w:val="000000"/>
          <w:sz w:val="24"/>
          <w:szCs w:val="24"/>
          <w:lang w:eastAsia="es-PE"/>
        </w:rPr>
        <w:lastRenderedPageBreak/>
        <w:t xml:space="preserve">La investigación ha abordado esto “les femmes dans des activités masculines adoptaient des stéréotypes masculins”, </w:t>
      </w:r>
      <w:r w:rsidRPr="00CD38EB">
        <w:rPr>
          <w:rFonts w:ascii="Times New Roman" w:eastAsia="Times New Roman" w:hAnsi="Times New Roman" w:cs="Times New Roman"/>
          <w:i/>
          <w:iCs/>
          <w:color w:val="000000"/>
          <w:sz w:val="24"/>
          <w:szCs w:val="24"/>
          <w:lang w:eastAsia="es-PE"/>
        </w:rPr>
        <w:t>las mujeres que trabajan en actividades masculinas adoptaron estereotipos masculinos.</w:t>
      </w:r>
      <w:r w:rsidRPr="00CD38EB">
        <w:rPr>
          <w:rFonts w:ascii="Times New Roman" w:eastAsia="Times New Roman" w:hAnsi="Times New Roman" w:cs="Times New Roman"/>
          <w:color w:val="000000"/>
          <w:sz w:val="24"/>
          <w:szCs w:val="24"/>
          <w:lang w:eastAsia="es-PE"/>
        </w:rPr>
        <w:t xml:space="preserve"> (Doutre, 2014, p</w:t>
      </w:r>
      <w:r w:rsidR="007C01FB" w:rsidRPr="00CD38EB">
        <w:rPr>
          <w:rFonts w:ascii="Times New Roman" w:eastAsia="Times New Roman" w:hAnsi="Times New Roman" w:cs="Times New Roman"/>
          <w:color w:val="000000"/>
          <w:sz w:val="24"/>
          <w:szCs w:val="24"/>
          <w:lang w:eastAsia="es-PE"/>
        </w:rPr>
        <w:t>.</w:t>
      </w:r>
      <w:r w:rsidRPr="00CD38EB">
        <w:rPr>
          <w:rFonts w:ascii="Times New Roman" w:eastAsia="Times New Roman" w:hAnsi="Times New Roman" w:cs="Times New Roman"/>
          <w:color w:val="000000"/>
          <w:sz w:val="24"/>
          <w:szCs w:val="24"/>
          <w:lang w:eastAsia="es-PE"/>
        </w:rPr>
        <w:t xml:space="preserve"> 332) </w:t>
      </w:r>
      <w:r w:rsidR="00DE1784" w:rsidRPr="00CD38EB">
        <w:rPr>
          <w:rFonts w:ascii="Times New Roman" w:eastAsia="Times New Roman" w:hAnsi="Times New Roman" w:cs="Times New Roman"/>
          <w:color w:val="000000"/>
          <w:sz w:val="24"/>
          <w:szCs w:val="24"/>
          <w:lang w:eastAsia="es-PE"/>
        </w:rPr>
        <w:br/>
      </w:r>
    </w:p>
    <w:p w:rsidR="00803CA4" w:rsidRPr="002270B0" w:rsidRDefault="002270B0" w:rsidP="00CD38EB">
      <w:pPr>
        <w:pStyle w:val="Prrafodelista"/>
        <w:numPr>
          <w:ilvl w:val="0"/>
          <w:numId w:val="23"/>
        </w:numPr>
        <w:tabs>
          <w:tab w:val="left" w:pos="1276"/>
        </w:tabs>
        <w:spacing w:after="120" w:line="360" w:lineRule="auto"/>
        <w:ind w:left="426" w:hanging="426"/>
        <w:rPr>
          <w:rFonts w:ascii="Times New Roman" w:eastAsia="Times New Roman" w:hAnsi="Times New Roman" w:cs="Times New Roman"/>
          <w:sz w:val="24"/>
          <w:szCs w:val="24"/>
          <w:lang w:eastAsia="es-PE"/>
        </w:rPr>
      </w:pPr>
      <w:r>
        <w:rPr>
          <w:rFonts w:ascii="Times New Roman" w:eastAsia="Times New Roman" w:hAnsi="Times New Roman" w:cs="Times New Roman"/>
          <w:color w:val="000000"/>
          <w:sz w:val="24"/>
          <w:szCs w:val="24"/>
          <w:lang w:eastAsia="es-PE"/>
        </w:rPr>
        <w:t xml:space="preserve"> </w:t>
      </w:r>
      <w:r w:rsidR="00C05B97" w:rsidRPr="002270B0">
        <w:rPr>
          <w:rFonts w:ascii="Times New Roman" w:eastAsia="Times New Roman" w:hAnsi="Times New Roman" w:cs="Times New Roman"/>
          <w:color w:val="000000"/>
          <w:sz w:val="24"/>
          <w:szCs w:val="24"/>
          <w:lang w:eastAsia="es-PE"/>
        </w:rPr>
        <w:t xml:space="preserve">“El Profesor Lauro de Oliveira Lima le dio el </w:t>
      </w:r>
      <w:r w:rsidR="00CD38EB" w:rsidRPr="002270B0">
        <w:rPr>
          <w:rFonts w:ascii="Times New Roman" w:eastAsia="Times New Roman" w:hAnsi="Times New Roman" w:cs="Times New Roman"/>
          <w:color w:val="000000"/>
          <w:sz w:val="24"/>
          <w:szCs w:val="24"/>
          <w:lang w:eastAsia="es-PE"/>
        </w:rPr>
        <w:t>nombre de</w:t>
      </w:r>
      <w:r w:rsidR="00C05B97" w:rsidRPr="002270B0">
        <w:rPr>
          <w:rFonts w:ascii="Times New Roman" w:eastAsia="Times New Roman" w:hAnsi="Times New Roman" w:cs="Times New Roman"/>
          <w:color w:val="000000"/>
          <w:sz w:val="24"/>
          <w:szCs w:val="24"/>
          <w:lang w:eastAsia="es-PE"/>
        </w:rPr>
        <w:t xml:space="preserve"> </w:t>
      </w:r>
      <w:r w:rsidR="00C05B97" w:rsidRPr="002270B0">
        <w:rPr>
          <w:rFonts w:ascii="Times New Roman" w:eastAsia="Times New Roman" w:hAnsi="Times New Roman" w:cs="Times New Roman"/>
          <w:color w:val="000000"/>
          <w:sz w:val="24"/>
          <w:szCs w:val="24"/>
          <w:u w:val="single"/>
          <w:lang w:eastAsia="es-PE"/>
        </w:rPr>
        <w:t>psicogenético</w:t>
      </w:r>
      <w:r w:rsidR="00C05B97" w:rsidRPr="002270B0">
        <w:rPr>
          <w:rFonts w:ascii="Times New Roman" w:eastAsia="Times New Roman" w:hAnsi="Times New Roman" w:cs="Times New Roman"/>
          <w:color w:val="000000"/>
          <w:sz w:val="24"/>
          <w:szCs w:val="24"/>
          <w:lang w:eastAsia="es-PE"/>
        </w:rPr>
        <w:t xml:space="preserve"> [subrayado añadido] al método que creó a partir de las teorías piagetianas. En este método, el proceso pedagógico se modifica, sucesivamente, de acuerdo con la etapa de desarrollo mental (psicogénesis)” (Santos, 2011).</w:t>
      </w:r>
      <w:r w:rsidR="00803CA4" w:rsidRPr="002270B0">
        <w:rPr>
          <w:rFonts w:ascii="Times New Roman" w:eastAsia="Times New Roman" w:hAnsi="Times New Roman" w:cs="Times New Roman"/>
          <w:color w:val="000000"/>
          <w:sz w:val="24"/>
          <w:szCs w:val="24"/>
          <w:lang w:eastAsia="es-PE"/>
        </w:rPr>
        <w:br/>
      </w:r>
    </w:p>
    <w:p w:rsidR="00FC2BFA" w:rsidRPr="002270B0" w:rsidRDefault="00FC2BFA" w:rsidP="00CD38EB">
      <w:pPr>
        <w:pStyle w:val="Prrafodelista"/>
        <w:numPr>
          <w:ilvl w:val="0"/>
          <w:numId w:val="23"/>
        </w:numPr>
        <w:spacing w:line="360" w:lineRule="auto"/>
        <w:ind w:left="426" w:hanging="426"/>
        <w:rPr>
          <w:rFonts w:ascii="Times New Roman" w:eastAsia="Times New Roman" w:hAnsi="Times New Roman" w:cs="Times New Roman"/>
          <w:color w:val="000000"/>
          <w:sz w:val="24"/>
          <w:szCs w:val="24"/>
          <w:lang w:eastAsia="es-PE"/>
        </w:rPr>
      </w:pPr>
      <w:r w:rsidRPr="002270B0">
        <w:rPr>
          <w:rFonts w:ascii="Times New Roman" w:eastAsia="Times New Roman" w:hAnsi="Times New Roman" w:cs="Times New Roman"/>
          <w:color w:val="000000"/>
          <w:sz w:val="24"/>
          <w:szCs w:val="24"/>
          <w:lang w:eastAsia="es-PE"/>
        </w:rPr>
        <w:t xml:space="preserve">“Nuestros lazos con la familia extensa e incluso nuclear se desintegran (…) surgen nuevas formas de comunidad: estas nuevas comunidades se definen mediante afiliaciones voluntarias, temporales y tácticas (…) reafirmadas en virtud de empresas intelectuales e inversiones emocionales”. (Jenkins, 2002, pg. 17). </w:t>
      </w:r>
    </w:p>
    <w:p w:rsidR="00803CA4" w:rsidRPr="00FC2BFA" w:rsidRDefault="00803CA4" w:rsidP="00FC2BFA">
      <w:pPr>
        <w:tabs>
          <w:tab w:val="left" w:pos="1276"/>
        </w:tabs>
        <w:spacing w:after="120" w:line="360" w:lineRule="auto"/>
        <w:ind w:left="709" w:hanging="709"/>
        <w:jc w:val="both"/>
        <w:rPr>
          <w:rFonts w:ascii="Times New Roman" w:eastAsia="Times New Roman" w:hAnsi="Times New Roman" w:cs="Times New Roman"/>
          <w:sz w:val="24"/>
          <w:szCs w:val="24"/>
          <w:lang w:eastAsia="es-PE"/>
        </w:rPr>
      </w:pPr>
    </w:p>
    <w:p w:rsidR="00803CA4" w:rsidRPr="002270B0" w:rsidRDefault="00803CA4" w:rsidP="00CD38EB">
      <w:pPr>
        <w:pStyle w:val="Prrafodelista"/>
        <w:numPr>
          <w:ilvl w:val="0"/>
          <w:numId w:val="23"/>
        </w:numPr>
        <w:tabs>
          <w:tab w:val="left" w:pos="1276"/>
        </w:tabs>
        <w:spacing w:after="120" w:line="360" w:lineRule="auto"/>
        <w:ind w:left="426" w:hanging="426"/>
        <w:jc w:val="both"/>
        <w:rPr>
          <w:rFonts w:ascii="Times New Roman" w:eastAsia="Times New Roman" w:hAnsi="Times New Roman" w:cs="Times New Roman"/>
          <w:sz w:val="24"/>
          <w:szCs w:val="24"/>
          <w:lang w:eastAsia="es-PE"/>
        </w:rPr>
      </w:pPr>
      <w:r w:rsidRPr="002270B0">
        <w:rPr>
          <w:rFonts w:ascii="Times New Roman" w:eastAsia="Times New Roman" w:hAnsi="Times New Roman" w:cs="Times New Roman"/>
          <w:color w:val="000000"/>
          <w:sz w:val="24"/>
          <w:szCs w:val="24"/>
          <w:lang w:eastAsia="es-PE"/>
        </w:rPr>
        <w:t>Este ilustre hombre de ciencias (Prigogine, 2004), dijo y demos</w:t>
      </w:r>
      <w:r w:rsidR="00A65C63" w:rsidRPr="002270B0">
        <w:rPr>
          <w:rFonts w:ascii="Times New Roman" w:eastAsia="Times New Roman" w:hAnsi="Times New Roman" w:cs="Times New Roman"/>
          <w:color w:val="000000"/>
          <w:sz w:val="24"/>
          <w:szCs w:val="24"/>
          <w:lang w:eastAsia="es-PE"/>
        </w:rPr>
        <w:t xml:space="preserve">tró que el caos es artífice del </w:t>
      </w:r>
      <w:r w:rsidRPr="002270B0">
        <w:rPr>
          <w:rFonts w:ascii="Times New Roman" w:eastAsia="Times New Roman" w:hAnsi="Times New Roman" w:cs="Times New Roman"/>
          <w:color w:val="000000"/>
          <w:sz w:val="24"/>
          <w:szCs w:val="24"/>
          <w:lang w:eastAsia="es-PE"/>
        </w:rPr>
        <w:t>orden, que el no equilibrio y la no lin</w:t>
      </w:r>
      <w:r w:rsidR="00A65C63" w:rsidRPr="002270B0">
        <w:rPr>
          <w:rFonts w:ascii="Times New Roman" w:eastAsia="Times New Roman" w:hAnsi="Times New Roman" w:cs="Times New Roman"/>
          <w:color w:val="000000"/>
          <w:sz w:val="24"/>
          <w:szCs w:val="24"/>
          <w:lang w:eastAsia="es-PE"/>
        </w:rPr>
        <w:t>ealidad son creadores del orden:</w:t>
      </w:r>
    </w:p>
    <w:p w:rsidR="00803CA4" w:rsidRDefault="00803CA4" w:rsidP="00CD38EB">
      <w:pPr>
        <w:spacing w:after="120" w:line="360" w:lineRule="auto"/>
        <w:ind w:left="1440"/>
        <w:jc w:val="both"/>
        <w:rPr>
          <w:rFonts w:ascii="Times New Roman" w:eastAsia="Times New Roman" w:hAnsi="Times New Roman" w:cs="Times New Roman"/>
          <w:color w:val="000000"/>
          <w:sz w:val="24"/>
          <w:szCs w:val="24"/>
          <w:lang w:eastAsia="es-PE"/>
        </w:rPr>
      </w:pPr>
      <w:r w:rsidRPr="00FC2BFA">
        <w:rPr>
          <w:rFonts w:ascii="Times New Roman" w:eastAsia="Times New Roman" w:hAnsi="Times New Roman" w:cs="Times New Roman"/>
          <w:color w:val="000000"/>
          <w:sz w:val="24"/>
          <w:szCs w:val="24"/>
          <w:lang w:eastAsia="es-PE"/>
        </w:rPr>
        <w:t>“La disipación de energía y de materia –generalmente asociada a los</w:t>
      </w:r>
      <w:r w:rsidR="00CD38EB">
        <w:rPr>
          <w:rFonts w:ascii="Times New Roman" w:eastAsia="Times New Roman" w:hAnsi="Times New Roman" w:cs="Times New Roman"/>
          <w:color w:val="000000"/>
          <w:sz w:val="24"/>
          <w:szCs w:val="24"/>
          <w:lang w:eastAsia="es-PE"/>
        </w:rPr>
        <w:t xml:space="preserve"> </w:t>
      </w:r>
      <w:r w:rsidRPr="00FC2BFA">
        <w:rPr>
          <w:rFonts w:ascii="Times New Roman" w:eastAsia="Times New Roman" w:hAnsi="Times New Roman" w:cs="Times New Roman"/>
          <w:color w:val="000000"/>
          <w:sz w:val="24"/>
          <w:szCs w:val="24"/>
          <w:lang w:eastAsia="es-PE"/>
        </w:rPr>
        <w:t>conceptos de pérdida y rendimiento y evolución hacia el desorden– se convierte, lejos del equilibrio, en fuente de orden; la disipación se encuentra en el origen de lo que podemos llamar los nuevos estados de la materia. Las</w:t>
      </w:r>
      <w:r w:rsidR="00CD38EB">
        <w:rPr>
          <w:rFonts w:ascii="Times New Roman" w:eastAsia="Times New Roman" w:hAnsi="Times New Roman" w:cs="Times New Roman"/>
          <w:color w:val="000000"/>
          <w:sz w:val="24"/>
          <w:szCs w:val="24"/>
          <w:lang w:eastAsia="es-PE"/>
        </w:rPr>
        <w:t xml:space="preserve"> </w:t>
      </w:r>
      <w:r w:rsidRPr="00FC2BFA">
        <w:rPr>
          <w:rFonts w:ascii="Times New Roman" w:eastAsia="Times New Roman" w:hAnsi="Times New Roman" w:cs="Times New Roman"/>
          <w:color w:val="000000"/>
          <w:sz w:val="24"/>
          <w:szCs w:val="24"/>
          <w:lang w:eastAsia="es-PE"/>
        </w:rPr>
        <w:t>estructuras disipativas corresponden en realidad a una forma de organización supramolecular”. (Prigogine and Stengers, 2004, p. 181)</w:t>
      </w:r>
    </w:p>
    <w:p w:rsidR="00CD38EB" w:rsidRPr="00FC2BFA" w:rsidRDefault="00CD38EB" w:rsidP="00CD38EB">
      <w:pPr>
        <w:spacing w:after="120" w:line="360" w:lineRule="auto"/>
        <w:ind w:left="1440"/>
        <w:jc w:val="both"/>
        <w:rPr>
          <w:rFonts w:ascii="Times New Roman" w:eastAsia="Times New Roman" w:hAnsi="Times New Roman" w:cs="Times New Roman"/>
          <w:sz w:val="24"/>
          <w:szCs w:val="24"/>
          <w:lang w:eastAsia="es-PE"/>
        </w:rPr>
      </w:pPr>
    </w:p>
    <w:p w:rsidR="0078345E" w:rsidRPr="002270B0" w:rsidRDefault="00803CA4" w:rsidP="00CD38EB">
      <w:pPr>
        <w:pStyle w:val="Prrafodelista"/>
        <w:numPr>
          <w:ilvl w:val="0"/>
          <w:numId w:val="23"/>
        </w:numPr>
        <w:spacing w:after="120" w:line="360" w:lineRule="auto"/>
        <w:ind w:left="426" w:hanging="426"/>
        <w:jc w:val="both"/>
        <w:rPr>
          <w:rFonts w:ascii="Times New Roman" w:eastAsia="Times New Roman" w:hAnsi="Times New Roman" w:cs="Times New Roman"/>
          <w:color w:val="000000"/>
          <w:sz w:val="24"/>
          <w:szCs w:val="24"/>
          <w:lang w:eastAsia="es-PE"/>
        </w:rPr>
      </w:pPr>
      <w:r w:rsidRPr="002270B0">
        <w:rPr>
          <w:rFonts w:ascii="Times New Roman" w:eastAsia="Times New Roman" w:hAnsi="Times New Roman" w:cs="Times New Roman"/>
          <w:color w:val="000000"/>
          <w:sz w:val="24"/>
          <w:szCs w:val="24"/>
          <w:lang w:eastAsia="es-PE"/>
        </w:rPr>
        <w:t>Ponce, A.B. (comunicación personal, 27 de abril del 2013) declaró que el precio d</w:t>
      </w:r>
      <w:r w:rsidR="00A65C63" w:rsidRPr="002270B0">
        <w:rPr>
          <w:rFonts w:ascii="Times New Roman" w:eastAsia="Times New Roman" w:hAnsi="Times New Roman" w:cs="Times New Roman"/>
          <w:color w:val="000000"/>
          <w:sz w:val="24"/>
          <w:szCs w:val="24"/>
          <w:lang w:eastAsia="es-PE"/>
        </w:rPr>
        <w:t xml:space="preserve">e las sopas </w:t>
      </w:r>
      <w:r w:rsidRPr="002270B0">
        <w:rPr>
          <w:rFonts w:ascii="Times New Roman" w:eastAsia="Times New Roman" w:hAnsi="Times New Roman" w:cs="Times New Roman"/>
          <w:color w:val="000000"/>
          <w:sz w:val="24"/>
          <w:szCs w:val="24"/>
          <w:lang w:eastAsia="es-PE"/>
        </w:rPr>
        <w:t>instantáneas aumentará un 5% e</w:t>
      </w:r>
      <w:r w:rsidR="0078345E" w:rsidRPr="002270B0">
        <w:rPr>
          <w:rFonts w:ascii="Times New Roman" w:eastAsia="Times New Roman" w:hAnsi="Times New Roman" w:cs="Times New Roman"/>
          <w:color w:val="000000"/>
          <w:sz w:val="24"/>
          <w:szCs w:val="24"/>
          <w:lang w:eastAsia="es-PE"/>
        </w:rPr>
        <w:t>n el cuarto trimestre de 2019.</w:t>
      </w:r>
    </w:p>
    <w:p w:rsidR="0078345E" w:rsidRPr="00FC2BFA" w:rsidRDefault="0078345E" w:rsidP="0078345E">
      <w:pPr>
        <w:tabs>
          <w:tab w:val="left" w:pos="1276"/>
        </w:tabs>
        <w:spacing w:after="120" w:line="360" w:lineRule="auto"/>
        <w:ind w:left="709" w:hanging="709"/>
        <w:jc w:val="both"/>
        <w:rPr>
          <w:rFonts w:ascii="Times New Roman" w:eastAsia="Times New Roman" w:hAnsi="Times New Roman" w:cs="Times New Roman"/>
          <w:color w:val="000000"/>
          <w:sz w:val="24"/>
          <w:szCs w:val="24"/>
          <w:lang w:eastAsia="es-PE"/>
        </w:rPr>
      </w:pPr>
    </w:p>
    <w:p w:rsidR="00803CA4" w:rsidRPr="002270B0" w:rsidRDefault="00803CA4" w:rsidP="00CD38EB">
      <w:pPr>
        <w:pStyle w:val="Prrafodelista"/>
        <w:numPr>
          <w:ilvl w:val="0"/>
          <w:numId w:val="23"/>
        </w:numPr>
        <w:tabs>
          <w:tab w:val="left" w:pos="1276"/>
        </w:tabs>
        <w:spacing w:after="120" w:line="360" w:lineRule="auto"/>
        <w:ind w:left="426" w:hanging="426"/>
        <w:jc w:val="both"/>
        <w:rPr>
          <w:rFonts w:ascii="Times New Roman" w:eastAsia="Times New Roman" w:hAnsi="Times New Roman" w:cs="Times New Roman"/>
          <w:sz w:val="24"/>
          <w:szCs w:val="24"/>
          <w:lang w:eastAsia="es-PE"/>
        </w:rPr>
      </w:pPr>
      <w:r w:rsidRPr="002270B0">
        <w:rPr>
          <w:rFonts w:ascii="Times New Roman" w:eastAsia="Times New Roman" w:hAnsi="Times New Roman" w:cs="Times New Roman"/>
          <w:color w:val="000000"/>
          <w:sz w:val="24"/>
          <w:szCs w:val="24"/>
          <w:lang w:eastAsia="es-PE"/>
        </w:rPr>
        <w:t xml:space="preserve">En cuanto a la unidisciplinariedad, José Rozo Gauta (1999) nos comenta: </w:t>
      </w:r>
    </w:p>
    <w:p w:rsidR="00803CA4" w:rsidRPr="00CD38EB" w:rsidRDefault="00803CA4" w:rsidP="00CD38EB">
      <w:pPr>
        <w:spacing w:after="120" w:line="360" w:lineRule="auto"/>
        <w:ind w:left="1418"/>
        <w:jc w:val="both"/>
        <w:rPr>
          <w:rFonts w:ascii="Times New Roman" w:eastAsia="Times New Roman" w:hAnsi="Times New Roman" w:cs="Times New Roman"/>
          <w:color w:val="000000"/>
          <w:sz w:val="24"/>
          <w:szCs w:val="24"/>
          <w:lang w:eastAsia="es-PE"/>
        </w:rPr>
      </w:pPr>
      <w:r w:rsidRPr="00FC2BFA">
        <w:rPr>
          <w:rFonts w:ascii="Times New Roman" w:eastAsia="Times New Roman" w:hAnsi="Times New Roman" w:cs="Times New Roman"/>
          <w:color w:val="000000"/>
          <w:sz w:val="24"/>
          <w:szCs w:val="24"/>
          <w:lang w:eastAsia="es-PE"/>
        </w:rPr>
        <w:t xml:space="preserve">Las escuelas, universidades e instituciones de investigación fueron organizadas desde el mundo multidisciplinar, con muchas disciplinas en </w:t>
      </w:r>
      <w:r w:rsidR="00CD38EB" w:rsidRPr="00FC2BFA">
        <w:rPr>
          <w:rFonts w:ascii="Times New Roman" w:eastAsia="Times New Roman" w:hAnsi="Times New Roman" w:cs="Times New Roman"/>
          <w:color w:val="000000"/>
          <w:sz w:val="24"/>
          <w:szCs w:val="24"/>
          <w:lang w:eastAsia="es-PE"/>
        </w:rPr>
        <w:lastRenderedPageBreak/>
        <w:t>vecindad,</w:t>
      </w:r>
      <w:r w:rsidRPr="00FC2BFA">
        <w:rPr>
          <w:rFonts w:ascii="Times New Roman" w:eastAsia="Times New Roman" w:hAnsi="Times New Roman" w:cs="Times New Roman"/>
          <w:color w:val="000000"/>
          <w:sz w:val="24"/>
          <w:szCs w:val="24"/>
          <w:lang w:eastAsia="es-PE"/>
        </w:rPr>
        <w:t xml:space="preserve"> pero sin relación unas con otras, aspecto que no solo ha separado el conocimiento, sino a unos sujetos de otros, a tal punto que físicos y biólogos son para los sociólogos y humanistas seres extraños y viceversa. (p. 12)</w:t>
      </w:r>
    </w:p>
    <w:p w:rsidR="00803CA4" w:rsidRDefault="00803CA4" w:rsidP="0078345E">
      <w:pPr>
        <w:tabs>
          <w:tab w:val="left" w:pos="1276"/>
        </w:tabs>
        <w:spacing w:after="0" w:line="360" w:lineRule="auto"/>
        <w:ind w:left="709" w:hanging="709"/>
        <w:rPr>
          <w:rFonts w:ascii="Times New Roman" w:eastAsia="Times New Roman" w:hAnsi="Times New Roman" w:cs="Times New Roman"/>
          <w:sz w:val="24"/>
          <w:szCs w:val="24"/>
          <w:lang w:eastAsia="es-PE"/>
        </w:rPr>
      </w:pPr>
    </w:p>
    <w:p w:rsidR="00803CA4" w:rsidRPr="002270B0" w:rsidRDefault="00803CA4" w:rsidP="00CD38EB">
      <w:pPr>
        <w:pStyle w:val="Prrafodelista"/>
        <w:numPr>
          <w:ilvl w:val="0"/>
          <w:numId w:val="23"/>
        </w:numPr>
        <w:tabs>
          <w:tab w:val="left" w:pos="1276"/>
        </w:tabs>
        <w:spacing w:after="120" w:line="360" w:lineRule="auto"/>
        <w:ind w:left="426" w:hanging="426"/>
        <w:rPr>
          <w:rFonts w:ascii="Times New Roman" w:eastAsia="Times New Roman" w:hAnsi="Times New Roman" w:cs="Times New Roman"/>
          <w:sz w:val="24"/>
          <w:szCs w:val="24"/>
          <w:lang w:eastAsia="es-PE"/>
        </w:rPr>
      </w:pPr>
      <w:r w:rsidRPr="002270B0">
        <w:rPr>
          <w:rFonts w:ascii="Times New Roman" w:eastAsia="Times New Roman" w:hAnsi="Times New Roman" w:cs="Times New Roman"/>
          <w:color w:val="000000"/>
          <w:sz w:val="24"/>
          <w:szCs w:val="24"/>
          <w:lang w:eastAsia="es-PE"/>
        </w:rPr>
        <w:t xml:space="preserve">El modelo de gestión pública debe captar las mejores prácticas realizadas en el sector </w:t>
      </w:r>
      <w:r w:rsidR="00A65C63" w:rsidRPr="002270B0">
        <w:rPr>
          <w:rFonts w:ascii="Times New Roman" w:eastAsia="Times New Roman" w:hAnsi="Times New Roman" w:cs="Times New Roman"/>
          <w:color w:val="000000"/>
          <w:sz w:val="24"/>
          <w:szCs w:val="24"/>
          <w:lang w:eastAsia="es-PE"/>
        </w:rPr>
        <w:t>p</w:t>
      </w:r>
      <w:r w:rsidRPr="002270B0">
        <w:rPr>
          <w:rFonts w:ascii="Times New Roman" w:eastAsia="Times New Roman" w:hAnsi="Times New Roman" w:cs="Times New Roman"/>
          <w:color w:val="000000"/>
          <w:sz w:val="24"/>
          <w:szCs w:val="24"/>
          <w:lang w:eastAsia="es-PE"/>
        </w:rPr>
        <w:t>rivado. Debido a que, demuestra y ayuda a definir métodos para</w:t>
      </w:r>
      <w:r w:rsidR="00A65C63" w:rsidRPr="002270B0">
        <w:rPr>
          <w:rFonts w:ascii="Times New Roman" w:eastAsia="Times New Roman" w:hAnsi="Times New Roman" w:cs="Times New Roman"/>
          <w:color w:val="000000"/>
          <w:sz w:val="24"/>
          <w:szCs w:val="24"/>
          <w:lang w:eastAsia="es-PE"/>
        </w:rPr>
        <w:t xml:space="preserve"> </w:t>
      </w:r>
      <w:r w:rsidRPr="002270B0">
        <w:rPr>
          <w:rFonts w:ascii="Times New Roman" w:eastAsia="Times New Roman" w:hAnsi="Times New Roman" w:cs="Times New Roman"/>
          <w:color w:val="000000"/>
          <w:sz w:val="24"/>
          <w:szCs w:val="24"/>
          <w:lang w:eastAsia="es-PE"/>
        </w:rPr>
        <w:t xml:space="preserve">resolver los diversos problemas que acontecen en los diversos sectores del Estado (Philip Johnson, 2001; Robert Johnson, 1999, Jonas Johnson, 1997). </w:t>
      </w:r>
    </w:p>
    <w:p w:rsidR="00803CA4" w:rsidRPr="00FC2BFA" w:rsidRDefault="00803CA4" w:rsidP="00CD38EB">
      <w:pPr>
        <w:tabs>
          <w:tab w:val="left" w:pos="1276"/>
        </w:tabs>
        <w:spacing w:after="0" w:line="360" w:lineRule="auto"/>
        <w:ind w:left="426" w:hanging="426"/>
        <w:rPr>
          <w:rFonts w:ascii="Times New Roman" w:eastAsia="Times New Roman" w:hAnsi="Times New Roman" w:cs="Times New Roman"/>
          <w:sz w:val="24"/>
          <w:szCs w:val="24"/>
          <w:lang w:eastAsia="es-PE"/>
        </w:rPr>
      </w:pPr>
    </w:p>
    <w:p w:rsidR="00803CA4" w:rsidRPr="002270B0" w:rsidRDefault="00803CA4" w:rsidP="00CD38EB">
      <w:pPr>
        <w:pStyle w:val="Prrafodelista"/>
        <w:numPr>
          <w:ilvl w:val="0"/>
          <w:numId w:val="23"/>
        </w:numPr>
        <w:tabs>
          <w:tab w:val="left" w:pos="1276"/>
        </w:tabs>
        <w:spacing w:after="120" w:line="360" w:lineRule="auto"/>
        <w:ind w:left="426" w:hanging="426"/>
        <w:jc w:val="both"/>
        <w:rPr>
          <w:rFonts w:ascii="Times New Roman" w:eastAsia="Times New Roman" w:hAnsi="Times New Roman" w:cs="Times New Roman"/>
          <w:color w:val="000000"/>
          <w:sz w:val="24"/>
          <w:szCs w:val="24"/>
          <w:lang w:eastAsia="es-PE"/>
        </w:rPr>
      </w:pPr>
      <w:r w:rsidRPr="002270B0">
        <w:rPr>
          <w:rFonts w:ascii="Times New Roman" w:eastAsia="Times New Roman" w:hAnsi="Times New Roman" w:cs="Times New Roman"/>
          <w:color w:val="000000"/>
          <w:sz w:val="24"/>
          <w:szCs w:val="24"/>
          <w:lang w:eastAsia="es-PE"/>
        </w:rPr>
        <w:t>Durante la formulación de un plan de auditoría interna se debe identificar cuáles son los riesgos corporativos que afecten con el cumplimiento de los objetivos estratégicos (Pinkett, 2002; Garrison, 1998; Adler, 1995).</w:t>
      </w:r>
    </w:p>
    <w:p w:rsidR="00A65C63" w:rsidRPr="00FC2BFA" w:rsidRDefault="00A65C63" w:rsidP="00CD38EB">
      <w:pPr>
        <w:tabs>
          <w:tab w:val="left" w:pos="1276"/>
        </w:tabs>
        <w:spacing w:after="120" w:line="360" w:lineRule="auto"/>
        <w:ind w:left="426" w:hanging="426"/>
        <w:jc w:val="both"/>
        <w:rPr>
          <w:rFonts w:ascii="Times New Roman" w:eastAsia="Times New Roman" w:hAnsi="Times New Roman" w:cs="Times New Roman"/>
          <w:sz w:val="24"/>
          <w:szCs w:val="24"/>
          <w:lang w:eastAsia="es-PE"/>
        </w:rPr>
      </w:pPr>
    </w:p>
    <w:p w:rsidR="00803CA4" w:rsidRPr="002270B0" w:rsidRDefault="00E14F19" w:rsidP="00CD38EB">
      <w:pPr>
        <w:pStyle w:val="Prrafodelista"/>
        <w:numPr>
          <w:ilvl w:val="0"/>
          <w:numId w:val="23"/>
        </w:numPr>
        <w:tabs>
          <w:tab w:val="left" w:pos="1276"/>
        </w:tabs>
        <w:spacing w:after="120" w:line="360" w:lineRule="auto"/>
        <w:ind w:left="426" w:hanging="426"/>
        <w:jc w:val="both"/>
        <w:rPr>
          <w:rFonts w:ascii="Times New Roman" w:eastAsia="Times New Roman" w:hAnsi="Times New Roman" w:cs="Times New Roman"/>
          <w:sz w:val="24"/>
          <w:szCs w:val="24"/>
          <w:lang w:eastAsia="es-PE"/>
        </w:rPr>
      </w:pPr>
      <w:r w:rsidRPr="002270B0">
        <w:rPr>
          <w:rFonts w:ascii="Times New Roman" w:eastAsia="Times New Roman" w:hAnsi="Times New Roman" w:cs="Times New Roman"/>
          <w:color w:val="000000"/>
          <w:sz w:val="24"/>
          <w:szCs w:val="24"/>
          <w:lang w:eastAsia="es-PE"/>
        </w:rPr>
        <w:t xml:space="preserve">Nelva </w:t>
      </w:r>
      <w:r w:rsidR="00803CA4" w:rsidRPr="002270B0">
        <w:rPr>
          <w:rFonts w:ascii="Times New Roman" w:eastAsia="Times New Roman" w:hAnsi="Times New Roman" w:cs="Times New Roman"/>
          <w:color w:val="000000"/>
          <w:sz w:val="24"/>
          <w:szCs w:val="24"/>
          <w:lang w:eastAsia="es-PE"/>
        </w:rPr>
        <w:t xml:space="preserve">Quevedo (comunicación personal, </w:t>
      </w:r>
      <w:r w:rsidR="009C4C29" w:rsidRPr="002270B0">
        <w:rPr>
          <w:rFonts w:ascii="Times New Roman" w:eastAsia="Times New Roman" w:hAnsi="Times New Roman" w:cs="Times New Roman"/>
          <w:color w:val="000000"/>
          <w:sz w:val="24"/>
          <w:szCs w:val="24"/>
          <w:lang w:eastAsia="es-PE"/>
        </w:rPr>
        <w:t>08/04/</w:t>
      </w:r>
      <w:r w:rsidR="00803CA4" w:rsidRPr="002270B0">
        <w:rPr>
          <w:rFonts w:ascii="Times New Roman" w:eastAsia="Times New Roman" w:hAnsi="Times New Roman" w:cs="Times New Roman"/>
          <w:color w:val="000000"/>
          <w:sz w:val="24"/>
          <w:szCs w:val="24"/>
          <w:lang w:eastAsia="es-PE"/>
        </w:rPr>
        <w:t>2015) señala que la pervivencia de</w:t>
      </w:r>
      <w:r w:rsidR="00803CA4" w:rsidRPr="002270B0">
        <w:rPr>
          <w:rFonts w:ascii="Times New Roman" w:eastAsia="Times New Roman" w:hAnsi="Times New Roman" w:cs="Times New Roman"/>
          <w:color w:val="000000"/>
          <w:sz w:val="24"/>
          <w:szCs w:val="24"/>
          <w:lang w:eastAsia="es-PE"/>
        </w:rPr>
        <w:br/>
        <w:t>la biblioteca universitaria requiere del encadenamiento del accionar de sus diversas</w:t>
      </w:r>
      <w:r w:rsidR="00803CA4" w:rsidRPr="002270B0">
        <w:rPr>
          <w:rFonts w:ascii="Times New Roman" w:eastAsia="Times New Roman" w:hAnsi="Times New Roman" w:cs="Times New Roman"/>
          <w:color w:val="000000"/>
          <w:sz w:val="24"/>
          <w:szCs w:val="24"/>
          <w:lang w:eastAsia="es-PE"/>
        </w:rPr>
        <w:br/>
        <w:t>áreas a los lineamientos estratégicos de la universidad que la acoge.</w:t>
      </w:r>
    </w:p>
    <w:p w:rsidR="00BA2C42" w:rsidRPr="00FC2BFA" w:rsidRDefault="00BA2C42" w:rsidP="00CD38EB">
      <w:pPr>
        <w:tabs>
          <w:tab w:val="left" w:pos="1276"/>
        </w:tabs>
        <w:spacing w:after="0" w:line="360" w:lineRule="auto"/>
        <w:ind w:left="426" w:hanging="426"/>
        <w:rPr>
          <w:rFonts w:ascii="Times New Roman" w:eastAsia="Times New Roman" w:hAnsi="Times New Roman" w:cs="Times New Roman"/>
          <w:sz w:val="24"/>
          <w:szCs w:val="24"/>
          <w:lang w:eastAsia="es-PE"/>
        </w:rPr>
      </w:pPr>
    </w:p>
    <w:p w:rsidR="00803CA4" w:rsidRPr="002270B0" w:rsidRDefault="00803CA4" w:rsidP="00CD38EB">
      <w:pPr>
        <w:pStyle w:val="Prrafodelista"/>
        <w:numPr>
          <w:ilvl w:val="0"/>
          <w:numId w:val="23"/>
        </w:numPr>
        <w:tabs>
          <w:tab w:val="left" w:pos="1276"/>
        </w:tabs>
        <w:spacing w:after="120" w:line="360" w:lineRule="auto"/>
        <w:ind w:left="426" w:hanging="426"/>
        <w:jc w:val="both"/>
        <w:rPr>
          <w:rFonts w:ascii="Times New Roman" w:eastAsia="Times New Roman" w:hAnsi="Times New Roman" w:cs="Times New Roman"/>
          <w:color w:val="000000"/>
          <w:sz w:val="24"/>
          <w:szCs w:val="24"/>
          <w:lang w:eastAsia="es-PE"/>
        </w:rPr>
      </w:pPr>
      <w:r w:rsidRPr="002270B0">
        <w:rPr>
          <w:rFonts w:ascii="Times New Roman" w:eastAsia="Times New Roman" w:hAnsi="Times New Roman" w:cs="Times New Roman"/>
          <w:color w:val="000000"/>
          <w:sz w:val="24"/>
          <w:szCs w:val="24"/>
          <w:lang w:eastAsia="es-PE"/>
        </w:rPr>
        <w:t xml:space="preserve">Las instituciones educativas de hoy, cualquiera que sea su nivel y modelo de gestión, merecen ser revisadas y miradas desde un modelo organizacional, pensando que “una organización es un sistema de vínculos, </w:t>
      </w:r>
      <w:r w:rsidR="00BA2C42" w:rsidRPr="002270B0">
        <w:rPr>
          <w:rFonts w:ascii="Times New Roman" w:eastAsia="Times New Roman" w:hAnsi="Times New Roman" w:cs="Times New Roman"/>
          <w:color w:val="000000"/>
          <w:sz w:val="24"/>
          <w:szCs w:val="24"/>
          <w:lang w:eastAsia="es-PE"/>
        </w:rPr>
        <w:t>en el que</w:t>
      </w:r>
      <w:r w:rsidRPr="002270B0">
        <w:rPr>
          <w:rFonts w:ascii="Times New Roman" w:eastAsia="Times New Roman" w:hAnsi="Times New Roman" w:cs="Times New Roman"/>
          <w:color w:val="000000"/>
          <w:sz w:val="24"/>
          <w:szCs w:val="24"/>
          <w:lang w:eastAsia="es-PE"/>
        </w:rPr>
        <w:t xml:space="preserve"> la calidad de estos vínculos determina la calidad de la educación en la escuela” (Gore</w:t>
      </w:r>
      <w:r w:rsidR="00BA2C42" w:rsidRPr="002270B0">
        <w:rPr>
          <w:rFonts w:ascii="Times New Roman" w:eastAsia="Times New Roman" w:hAnsi="Times New Roman" w:cs="Times New Roman"/>
          <w:color w:val="000000"/>
          <w:sz w:val="24"/>
          <w:szCs w:val="24"/>
          <w:lang w:eastAsia="es-PE"/>
        </w:rPr>
        <w:t>, López, Cámara, Aréstegui, Pérez, Abanto y Martínez</w:t>
      </w:r>
      <w:r w:rsidRPr="002270B0">
        <w:rPr>
          <w:rFonts w:ascii="Times New Roman" w:eastAsia="Times New Roman" w:hAnsi="Times New Roman" w:cs="Times New Roman"/>
          <w:color w:val="000000"/>
          <w:sz w:val="24"/>
          <w:szCs w:val="24"/>
          <w:lang w:eastAsia="es-PE"/>
        </w:rPr>
        <w:t>, 2004, p. 332).</w:t>
      </w:r>
    </w:p>
    <w:p w:rsidR="007C01FB" w:rsidRDefault="007C01FB" w:rsidP="00CD38EB">
      <w:pPr>
        <w:tabs>
          <w:tab w:val="left" w:pos="1276"/>
        </w:tabs>
        <w:spacing w:after="120" w:line="360" w:lineRule="auto"/>
        <w:ind w:left="426" w:hanging="426"/>
        <w:jc w:val="both"/>
        <w:rPr>
          <w:rFonts w:ascii="Times New Roman" w:eastAsia="Times New Roman" w:hAnsi="Times New Roman" w:cs="Times New Roman"/>
          <w:color w:val="000000"/>
          <w:sz w:val="24"/>
          <w:szCs w:val="24"/>
          <w:lang w:eastAsia="es-PE"/>
        </w:rPr>
      </w:pPr>
    </w:p>
    <w:p w:rsidR="007C01FB" w:rsidRDefault="007C01FB" w:rsidP="00CD38EB">
      <w:pPr>
        <w:pStyle w:val="Prrafodelista"/>
        <w:numPr>
          <w:ilvl w:val="0"/>
          <w:numId w:val="23"/>
        </w:numPr>
        <w:tabs>
          <w:tab w:val="left" w:pos="1276"/>
        </w:tabs>
        <w:spacing w:after="120" w:line="360" w:lineRule="auto"/>
        <w:ind w:left="426" w:hanging="426"/>
        <w:jc w:val="both"/>
        <w:rPr>
          <w:rFonts w:ascii="Times New Roman" w:eastAsia="Times New Roman" w:hAnsi="Times New Roman" w:cs="Times New Roman"/>
          <w:color w:val="000000"/>
          <w:sz w:val="24"/>
          <w:szCs w:val="24"/>
          <w:lang w:eastAsia="es-PE"/>
        </w:rPr>
      </w:pPr>
      <w:r w:rsidRPr="002270B0">
        <w:rPr>
          <w:rFonts w:ascii="Times New Roman" w:eastAsia="Times New Roman" w:hAnsi="Times New Roman" w:cs="Times New Roman"/>
          <w:color w:val="000000"/>
          <w:sz w:val="24"/>
          <w:szCs w:val="24"/>
          <w:lang w:eastAsia="es-PE"/>
        </w:rPr>
        <w:t>“La visión holista está surgiendo como una alternativa poderosa para superar los paradigmas dogmáticos y cientificistas de los últimos cuatrocientos años” (Gallegos, 1999, s.p.).</w:t>
      </w:r>
    </w:p>
    <w:p w:rsidR="00DE1784" w:rsidRDefault="00DE1784" w:rsidP="00DE1784">
      <w:pPr>
        <w:tabs>
          <w:tab w:val="left" w:pos="1276"/>
        </w:tabs>
        <w:spacing w:after="120" w:line="360" w:lineRule="auto"/>
        <w:jc w:val="both"/>
        <w:rPr>
          <w:rFonts w:ascii="Times New Roman" w:eastAsia="Times New Roman" w:hAnsi="Times New Roman" w:cs="Times New Roman"/>
          <w:color w:val="000000"/>
          <w:sz w:val="24"/>
          <w:szCs w:val="24"/>
          <w:lang w:eastAsia="es-PE"/>
        </w:rPr>
      </w:pPr>
    </w:p>
    <w:p w:rsidR="00CD38EB" w:rsidRPr="00DE1784" w:rsidRDefault="00CD38EB" w:rsidP="00DE1784">
      <w:pPr>
        <w:tabs>
          <w:tab w:val="left" w:pos="1276"/>
        </w:tabs>
        <w:spacing w:after="120" w:line="360" w:lineRule="auto"/>
        <w:jc w:val="both"/>
        <w:rPr>
          <w:rFonts w:ascii="Times New Roman" w:eastAsia="Times New Roman" w:hAnsi="Times New Roman" w:cs="Times New Roman"/>
          <w:color w:val="000000"/>
          <w:sz w:val="24"/>
          <w:szCs w:val="24"/>
          <w:lang w:eastAsia="es-PE"/>
        </w:rPr>
      </w:pPr>
    </w:p>
    <w:p w:rsidR="00DE1784" w:rsidRDefault="00DE1784" w:rsidP="00CD38EB">
      <w:pPr>
        <w:pStyle w:val="Prrafodelista"/>
        <w:numPr>
          <w:ilvl w:val="0"/>
          <w:numId w:val="23"/>
        </w:numPr>
        <w:tabs>
          <w:tab w:val="left" w:pos="1276"/>
        </w:tabs>
        <w:spacing w:after="120" w:line="360" w:lineRule="auto"/>
        <w:ind w:left="851" w:hanging="851"/>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Figura 2.2</w:t>
      </w:r>
      <w:r>
        <w:rPr>
          <w:rFonts w:ascii="Times New Roman" w:eastAsia="Times New Roman" w:hAnsi="Times New Roman" w:cs="Times New Roman"/>
          <w:color w:val="000000"/>
          <w:sz w:val="24"/>
          <w:szCs w:val="24"/>
          <w:lang w:eastAsia="es-PE"/>
        </w:rPr>
        <w:br/>
        <w:t>Distribución de migrantes por origen y año de llegada a España.</w:t>
      </w:r>
    </w:p>
    <w:p w:rsidR="00DE1784" w:rsidRPr="00DE1784" w:rsidRDefault="00DE1784" w:rsidP="00DE1784">
      <w:pPr>
        <w:tabs>
          <w:tab w:val="left" w:pos="1276"/>
        </w:tabs>
        <w:spacing w:after="120" w:line="360" w:lineRule="auto"/>
        <w:jc w:val="both"/>
        <w:rPr>
          <w:rFonts w:ascii="Times New Roman" w:eastAsia="Times New Roman" w:hAnsi="Times New Roman" w:cs="Times New Roman"/>
          <w:color w:val="000000"/>
          <w:sz w:val="24"/>
          <w:szCs w:val="24"/>
          <w:lang w:eastAsia="es-PE"/>
        </w:rPr>
      </w:pPr>
      <w:r>
        <w:rPr>
          <w:noProof/>
          <w:lang w:eastAsia="es-PE"/>
        </w:rPr>
        <w:drawing>
          <wp:anchor distT="0" distB="0" distL="114300" distR="114300" simplePos="0" relativeHeight="251658240" behindDoc="0" locked="0" layoutInCell="1" allowOverlap="1">
            <wp:simplePos x="0" y="0"/>
            <wp:positionH relativeFrom="column">
              <wp:posOffset>480695</wp:posOffset>
            </wp:positionH>
            <wp:positionV relativeFrom="paragraph">
              <wp:posOffset>55880</wp:posOffset>
            </wp:positionV>
            <wp:extent cx="5425440" cy="2785110"/>
            <wp:effectExtent l="0" t="0" r="3810" b="0"/>
            <wp:wrapThrough wrapText="bothSides">
              <wp:wrapPolygon edited="0">
                <wp:start x="0" y="0"/>
                <wp:lineTo x="0" y="21423"/>
                <wp:lineTo x="21539" y="21423"/>
                <wp:lineTo x="21539" y="0"/>
                <wp:lineTo x="0" y="0"/>
              </wp:wrapPolygon>
            </wp:wrapThrough>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5440" cy="2785110"/>
                    </a:xfrm>
                    <a:prstGeom prst="rect">
                      <a:avLst/>
                    </a:prstGeom>
                    <a:noFill/>
                    <a:ln>
                      <a:noFill/>
                    </a:ln>
                  </pic:spPr>
                </pic:pic>
              </a:graphicData>
            </a:graphic>
            <wp14:sizeRelH relativeFrom="margin">
              <wp14:pctWidth>0</wp14:pctWidth>
            </wp14:sizeRelH>
          </wp:anchor>
        </w:drawing>
      </w:r>
    </w:p>
    <w:p w:rsidR="007C01FB" w:rsidRDefault="007C01FB" w:rsidP="007C01FB">
      <w:pPr>
        <w:tabs>
          <w:tab w:val="left" w:pos="1276"/>
        </w:tabs>
        <w:spacing w:after="120" w:line="360" w:lineRule="auto"/>
        <w:jc w:val="both"/>
        <w:rPr>
          <w:rFonts w:ascii="Times New Roman" w:eastAsia="Times New Roman" w:hAnsi="Times New Roman" w:cs="Times New Roman"/>
          <w:color w:val="000000"/>
          <w:sz w:val="24"/>
          <w:szCs w:val="24"/>
          <w:lang w:eastAsia="es-PE"/>
        </w:rPr>
      </w:pPr>
    </w:p>
    <w:p w:rsidR="007C01FB" w:rsidRPr="00FC2BFA" w:rsidRDefault="007C01FB" w:rsidP="007C01FB">
      <w:pPr>
        <w:tabs>
          <w:tab w:val="left" w:pos="1276"/>
        </w:tabs>
        <w:spacing w:after="120" w:line="360" w:lineRule="auto"/>
        <w:jc w:val="both"/>
        <w:rPr>
          <w:rFonts w:ascii="Times New Roman" w:eastAsia="Times New Roman" w:hAnsi="Times New Roman" w:cs="Times New Roman"/>
          <w:sz w:val="24"/>
          <w:szCs w:val="24"/>
          <w:lang w:eastAsia="es-PE"/>
        </w:rPr>
      </w:pPr>
    </w:p>
    <w:p w:rsidR="00582DF3" w:rsidRPr="00DE1784" w:rsidRDefault="00803CA4" w:rsidP="00CD38EB">
      <w:pPr>
        <w:tabs>
          <w:tab w:val="left" w:pos="1276"/>
        </w:tabs>
        <w:spacing w:after="120" w:line="240" w:lineRule="auto"/>
        <w:ind w:left="851" w:hanging="851"/>
        <w:rPr>
          <w:rFonts w:ascii="Times New Roman" w:eastAsia="Times New Roman" w:hAnsi="Times New Roman" w:cs="Times New Roman"/>
          <w:sz w:val="20"/>
          <w:szCs w:val="20"/>
          <w:lang w:eastAsia="es-PE"/>
        </w:rPr>
      </w:pPr>
      <w:r w:rsidRPr="00FC2BFA">
        <w:rPr>
          <w:rFonts w:ascii="Times New Roman" w:eastAsia="Times New Roman" w:hAnsi="Times New Roman" w:cs="Times New Roman"/>
          <w:color w:val="000000"/>
          <w:sz w:val="24"/>
          <w:szCs w:val="24"/>
          <w:lang w:eastAsia="es-PE"/>
        </w:rPr>
        <w:br/>
      </w:r>
      <w:r w:rsidR="00DE1784" w:rsidRPr="00DE1784">
        <w:rPr>
          <w:rFonts w:ascii="Times New Roman" w:eastAsia="Times New Roman" w:hAnsi="Times New Roman" w:cs="Times New Roman"/>
          <w:color w:val="000000"/>
          <w:sz w:val="20"/>
          <w:szCs w:val="20"/>
          <w:lang w:eastAsia="es-PE"/>
        </w:rPr>
        <w:t>Fuente: Elaboración propia</w:t>
      </w:r>
      <w:r w:rsidR="00DE1784">
        <w:rPr>
          <w:rFonts w:ascii="Times New Roman" w:eastAsia="Times New Roman" w:hAnsi="Times New Roman" w:cs="Times New Roman"/>
          <w:color w:val="000000"/>
          <w:sz w:val="20"/>
          <w:szCs w:val="20"/>
          <w:lang w:eastAsia="es-PE"/>
        </w:rPr>
        <w:t>.</w:t>
      </w:r>
      <w:r w:rsidRPr="00DE1784">
        <w:rPr>
          <w:rFonts w:ascii="Times New Roman" w:eastAsia="Times New Roman" w:hAnsi="Times New Roman" w:cs="Times New Roman"/>
          <w:color w:val="000000"/>
          <w:sz w:val="20"/>
          <w:szCs w:val="20"/>
          <w:lang w:eastAsia="es-PE"/>
        </w:rPr>
        <w:br/>
      </w:r>
    </w:p>
    <w:sectPr w:rsidR="00582DF3" w:rsidRPr="00DE17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A4" w:rsidRDefault="00CB64A4" w:rsidP="003007FB">
      <w:pPr>
        <w:spacing w:after="0" w:line="240" w:lineRule="auto"/>
      </w:pPr>
      <w:r>
        <w:separator/>
      </w:r>
    </w:p>
  </w:endnote>
  <w:endnote w:type="continuationSeparator" w:id="0">
    <w:p w:rsidR="00CB64A4" w:rsidRDefault="00CB64A4" w:rsidP="0030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A4" w:rsidRDefault="00CB64A4" w:rsidP="003007FB">
      <w:pPr>
        <w:spacing w:after="0" w:line="240" w:lineRule="auto"/>
      </w:pPr>
      <w:r>
        <w:separator/>
      </w:r>
    </w:p>
  </w:footnote>
  <w:footnote w:type="continuationSeparator" w:id="0">
    <w:p w:rsidR="00CB64A4" w:rsidRDefault="00CB64A4" w:rsidP="00300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2F6"/>
    <w:multiLevelType w:val="multilevel"/>
    <w:tmpl w:val="166EE6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3351C"/>
    <w:multiLevelType w:val="hybridMultilevel"/>
    <w:tmpl w:val="2F2648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336226"/>
    <w:multiLevelType w:val="multilevel"/>
    <w:tmpl w:val="3774C8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F4913"/>
    <w:multiLevelType w:val="hybridMultilevel"/>
    <w:tmpl w:val="65C817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58257FF"/>
    <w:multiLevelType w:val="multilevel"/>
    <w:tmpl w:val="33ACBE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87573"/>
    <w:multiLevelType w:val="hybridMultilevel"/>
    <w:tmpl w:val="97227AF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A433F7F"/>
    <w:multiLevelType w:val="multilevel"/>
    <w:tmpl w:val="348A2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9F7208"/>
    <w:multiLevelType w:val="hybridMultilevel"/>
    <w:tmpl w:val="D14021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E6B6E1B"/>
    <w:multiLevelType w:val="multilevel"/>
    <w:tmpl w:val="8C700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533BC3"/>
    <w:multiLevelType w:val="multilevel"/>
    <w:tmpl w:val="E16A3A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4033B8"/>
    <w:multiLevelType w:val="multilevel"/>
    <w:tmpl w:val="B5FE4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008A0"/>
    <w:multiLevelType w:val="hybridMultilevel"/>
    <w:tmpl w:val="41F26FA6"/>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382C3E51"/>
    <w:multiLevelType w:val="hybridMultilevel"/>
    <w:tmpl w:val="DE82D9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D743A42"/>
    <w:multiLevelType w:val="multilevel"/>
    <w:tmpl w:val="5BB0E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8E01E8"/>
    <w:multiLevelType w:val="multilevel"/>
    <w:tmpl w:val="91C81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E260C0"/>
    <w:multiLevelType w:val="multilevel"/>
    <w:tmpl w:val="F13081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07394"/>
    <w:multiLevelType w:val="multilevel"/>
    <w:tmpl w:val="720A49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82127"/>
    <w:multiLevelType w:val="multilevel"/>
    <w:tmpl w:val="3CB2E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CE4F5C"/>
    <w:multiLevelType w:val="hybridMultilevel"/>
    <w:tmpl w:val="F68CF7A2"/>
    <w:lvl w:ilvl="0" w:tplc="280A000F">
      <w:start w:val="1"/>
      <w:numFmt w:val="decimal"/>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80748F2"/>
    <w:multiLevelType w:val="multilevel"/>
    <w:tmpl w:val="5456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713653"/>
    <w:multiLevelType w:val="multilevel"/>
    <w:tmpl w:val="A67C8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C44737"/>
    <w:multiLevelType w:val="multilevel"/>
    <w:tmpl w:val="813A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6A6919"/>
    <w:multiLevelType w:val="multilevel"/>
    <w:tmpl w:val="3E92D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8161B9"/>
    <w:multiLevelType w:val="multilevel"/>
    <w:tmpl w:val="9C90D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622780"/>
    <w:multiLevelType w:val="multilevel"/>
    <w:tmpl w:val="059E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4909BD"/>
    <w:multiLevelType w:val="multilevel"/>
    <w:tmpl w:val="B5529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4"/>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8"/>
    <w:lvlOverride w:ilvl="0">
      <w:lvl w:ilvl="0">
        <w:numFmt w:val="decimal"/>
        <w:lvlText w:val="%1."/>
        <w:lvlJc w:val="left"/>
      </w:lvl>
    </w:lvlOverride>
  </w:num>
  <w:num w:numId="6">
    <w:abstractNumId w:val="25"/>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21"/>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9"/>
  </w:num>
  <w:num w:numId="13">
    <w:abstractNumId w:val="17"/>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3"/>
    <w:lvlOverride w:ilvl="0">
      <w:lvl w:ilvl="0">
        <w:numFmt w:val="lowerLetter"/>
        <w:lvlText w:val="%1."/>
        <w:lvlJc w:val="left"/>
      </w:lvl>
    </w:lvlOverride>
  </w:num>
  <w:num w:numId="20">
    <w:abstractNumId w:val="11"/>
  </w:num>
  <w:num w:numId="21">
    <w:abstractNumId w:val="1"/>
  </w:num>
  <w:num w:numId="22">
    <w:abstractNumId w:val="18"/>
  </w:num>
  <w:num w:numId="23">
    <w:abstractNumId w:val="5"/>
  </w:num>
  <w:num w:numId="24">
    <w:abstractNumId w:val="7"/>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4A"/>
    <w:rsid w:val="001C7B2C"/>
    <w:rsid w:val="00213088"/>
    <w:rsid w:val="002270B0"/>
    <w:rsid w:val="0024713C"/>
    <w:rsid w:val="002669C7"/>
    <w:rsid w:val="003007FB"/>
    <w:rsid w:val="00320CE9"/>
    <w:rsid w:val="00333E62"/>
    <w:rsid w:val="00582DF3"/>
    <w:rsid w:val="00650922"/>
    <w:rsid w:val="00655A6A"/>
    <w:rsid w:val="0066455C"/>
    <w:rsid w:val="00671280"/>
    <w:rsid w:val="0078345E"/>
    <w:rsid w:val="007C01FB"/>
    <w:rsid w:val="007F4E38"/>
    <w:rsid w:val="00803CA4"/>
    <w:rsid w:val="008E4E98"/>
    <w:rsid w:val="00920224"/>
    <w:rsid w:val="009C4C29"/>
    <w:rsid w:val="009D037F"/>
    <w:rsid w:val="00A65C63"/>
    <w:rsid w:val="00AC7B11"/>
    <w:rsid w:val="00AE6AF7"/>
    <w:rsid w:val="00B029F8"/>
    <w:rsid w:val="00B20595"/>
    <w:rsid w:val="00BA2C42"/>
    <w:rsid w:val="00C05B97"/>
    <w:rsid w:val="00C9214A"/>
    <w:rsid w:val="00CB64A4"/>
    <w:rsid w:val="00CD38EB"/>
    <w:rsid w:val="00D02329"/>
    <w:rsid w:val="00DC1CEB"/>
    <w:rsid w:val="00DE1784"/>
    <w:rsid w:val="00E14F19"/>
    <w:rsid w:val="00E90792"/>
    <w:rsid w:val="00EA061D"/>
    <w:rsid w:val="00EA4234"/>
    <w:rsid w:val="00EA7B94"/>
    <w:rsid w:val="00EF0C4C"/>
    <w:rsid w:val="00F63B2B"/>
    <w:rsid w:val="00FC2BF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32D8"/>
  <w15:chartTrackingRefBased/>
  <w15:docId w15:val="{E2C14BE6-6C77-49FB-BD50-C5D290A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D38EB"/>
    <w:pPr>
      <w:keepNext/>
      <w:keepLines/>
      <w:pBdr>
        <w:bottom w:val="single" w:sz="4" w:space="1" w:color="auto"/>
      </w:pBdr>
      <w:spacing w:before="240" w:after="0"/>
      <w:jc w:val="center"/>
      <w:outlineLvl w:val="0"/>
    </w:pPr>
    <w:rPr>
      <w:rFonts w:ascii="Times New Roman" w:eastAsiaTheme="majorEastAsia" w:hAnsi="Times New Roman" w:cstheme="majorBidi"/>
      <w:b/>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214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tab-span">
    <w:name w:val="apple-tab-span"/>
    <w:basedOn w:val="Fuentedeprrafopredeter"/>
    <w:rsid w:val="00C9214A"/>
  </w:style>
  <w:style w:type="paragraph" w:styleId="Encabezado">
    <w:name w:val="header"/>
    <w:basedOn w:val="Normal"/>
    <w:link w:val="EncabezadoCar"/>
    <w:uiPriority w:val="99"/>
    <w:unhideWhenUsed/>
    <w:rsid w:val="0030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07FB"/>
  </w:style>
  <w:style w:type="paragraph" w:styleId="Piedepgina">
    <w:name w:val="footer"/>
    <w:basedOn w:val="Normal"/>
    <w:link w:val="PiedepginaCar"/>
    <w:uiPriority w:val="99"/>
    <w:unhideWhenUsed/>
    <w:rsid w:val="0030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07FB"/>
  </w:style>
  <w:style w:type="paragraph" w:styleId="Textonotaalfinal">
    <w:name w:val="endnote text"/>
    <w:basedOn w:val="Normal"/>
    <w:link w:val="TextonotaalfinalCar"/>
    <w:uiPriority w:val="99"/>
    <w:semiHidden/>
    <w:unhideWhenUsed/>
    <w:rsid w:val="003007F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007FB"/>
    <w:rPr>
      <w:sz w:val="20"/>
      <w:szCs w:val="20"/>
    </w:rPr>
  </w:style>
  <w:style w:type="character" w:styleId="Refdenotaalfinal">
    <w:name w:val="endnote reference"/>
    <w:basedOn w:val="Fuentedeprrafopredeter"/>
    <w:uiPriority w:val="99"/>
    <w:semiHidden/>
    <w:unhideWhenUsed/>
    <w:rsid w:val="003007FB"/>
    <w:rPr>
      <w:vertAlign w:val="superscript"/>
    </w:rPr>
  </w:style>
  <w:style w:type="paragraph" w:styleId="Prrafodelista">
    <w:name w:val="List Paragraph"/>
    <w:basedOn w:val="Normal"/>
    <w:uiPriority w:val="34"/>
    <w:qFormat/>
    <w:rsid w:val="003007FB"/>
    <w:pPr>
      <w:ind w:left="720"/>
      <w:contextualSpacing/>
    </w:pPr>
  </w:style>
  <w:style w:type="paragraph" w:styleId="Textonotapie">
    <w:name w:val="footnote text"/>
    <w:basedOn w:val="Normal"/>
    <w:link w:val="TextonotapieCar"/>
    <w:uiPriority w:val="99"/>
    <w:semiHidden/>
    <w:unhideWhenUsed/>
    <w:rsid w:val="003007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07FB"/>
    <w:rPr>
      <w:sz w:val="20"/>
      <w:szCs w:val="20"/>
    </w:rPr>
  </w:style>
  <w:style w:type="character" w:styleId="Refdenotaalpie">
    <w:name w:val="footnote reference"/>
    <w:basedOn w:val="Fuentedeprrafopredeter"/>
    <w:uiPriority w:val="99"/>
    <w:semiHidden/>
    <w:unhideWhenUsed/>
    <w:rsid w:val="003007FB"/>
    <w:rPr>
      <w:vertAlign w:val="superscript"/>
    </w:rPr>
  </w:style>
  <w:style w:type="table" w:styleId="Tablaconcuadrcula">
    <w:name w:val="Table Grid"/>
    <w:basedOn w:val="Tablanormal"/>
    <w:uiPriority w:val="39"/>
    <w:rsid w:val="0067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D38EB"/>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02684">
      <w:bodyDiv w:val="1"/>
      <w:marLeft w:val="0"/>
      <w:marRight w:val="0"/>
      <w:marTop w:val="0"/>
      <w:marBottom w:val="0"/>
      <w:divBdr>
        <w:top w:val="none" w:sz="0" w:space="0" w:color="auto"/>
        <w:left w:val="none" w:sz="0" w:space="0" w:color="auto"/>
        <w:bottom w:val="none" w:sz="0" w:space="0" w:color="auto"/>
        <w:right w:val="none" w:sz="0" w:space="0" w:color="auto"/>
      </w:divBdr>
    </w:div>
    <w:div w:id="21326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E99E-0219-4DCF-9D5A-EEA1F5E6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960</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Dennis Giovanni Cuellar Ascencio</cp:lastModifiedBy>
  <cp:revision>11</cp:revision>
  <dcterms:created xsi:type="dcterms:W3CDTF">2019-03-21T15:14:00Z</dcterms:created>
  <dcterms:modified xsi:type="dcterms:W3CDTF">2019-04-29T21:35:00Z</dcterms:modified>
</cp:coreProperties>
</file>