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4A" w:rsidRPr="003A2C81" w:rsidRDefault="00ED40FB" w:rsidP="003A2C81">
      <w:pPr>
        <w:pStyle w:val="Ttulo1"/>
      </w:pPr>
      <w:r w:rsidRPr="003A2C81">
        <w:t>PRÁCTICA DIRIGIDA - CITAS APA</w:t>
      </w:r>
    </w:p>
    <w:p w:rsidR="00C9214A" w:rsidRDefault="00C9214A" w:rsidP="009B701C">
      <w:pPr>
        <w:spacing w:after="0" w:line="360" w:lineRule="auto"/>
        <w:ind w:firstLine="709"/>
        <w:jc w:val="center"/>
        <w:rPr>
          <w:rFonts w:ascii="Times New Roman" w:eastAsia="Times New Roman" w:hAnsi="Times New Roman" w:cs="Times New Roman"/>
          <w:sz w:val="24"/>
          <w:szCs w:val="24"/>
          <w:lang w:eastAsia="es-PE"/>
        </w:rPr>
      </w:pPr>
    </w:p>
    <w:p w:rsidR="00EF0C4C" w:rsidRPr="00C9214A" w:rsidRDefault="00EF0C4C" w:rsidP="009B701C">
      <w:pPr>
        <w:spacing w:after="0" w:line="360" w:lineRule="auto"/>
        <w:ind w:firstLine="709"/>
        <w:jc w:val="center"/>
        <w:rPr>
          <w:rFonts w:ascii="Times New Roman" w:eastAsia="Times New Roman" w:hAnsi="Times New Roman" w:cs="Times New Roman"/>
          <w:sz w:val="24"/>
          <w:szCs w:val="24"/>
          <w:lang w:eastAsia="es-PE"/>
        </w:rPr>
      </w:pPr>
    </w:p>
    <w:p w:rsidR="00C9214A" w:rsidRPr="000D3F6B" w:rsidRDefault="00C9214A" w:rsidP="009B701C">
      <w:pPr>
        <w:numPr>
          <w:ilvl w:val="0"/>
          <w:numId w:val="1"/>
        </w:numPr>
        <w:tabs>
          <w:tab w:val="clear" w:pos="720"/>
        </w:tabs>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Además, se resalta el derecho de toda persona a un acceso a la salud sin discriminación por motivos de identidad de género u orientación sexual: </w:t>
      </w:r>
      <w:r w:rsidRPr="000D3F6B">
        <w:rPr>
          <w:rFonts w:ascii="Times New Roman" w:eastAsia="Times New Roman" w:hAnsi="Times New Roman" w:cs="Times New Roman"/>
          <w:i/>
          <w:iCs/>
          <w:color w:val="000000"/>
          <w:sz w:val="24"/>
          <w:szCs w:val="24"/>
          <w:lang w:eastAsia="es-PE"/>
        </w:rPr>
        <w:t>“Desde una perspectiva de derechos humanos y de la salud, no es necesario que se realice ningún diagnóstico de trastorno mental para dar acceso al tratamiento de una condición que necesita atención médica”</w:t>
      </w:r>
      <w:r w:rsidR="00BE7E5F">
        <w:rPr>
          <w:rFonts w:ascii="Times New Roman" w:eastAsia="Times New Roman" w:hAnsi="Times New Roman" w:cs="Times New Roman"/>
          <w:i/>
          <w:iCs/>
          <w:color w:val="000000"/>
          <w:sz w:val="24"/>
          <w:szCs w:val="24"/>
          <w:lang w:eastAsia="es-PE"/>
        </w:rPr>
        <w:t>.</w:t>
      </w:r>
      <w:r w:rsidR="000D3F6B">
        <w:rPr>
          <w:rFonts w:ascii="Times New Roman" w:eastAsia="Times New Roman" w:hAnsi="Times New Roman" w:cs="Times New Roman"/>
          <w:color w:val="000000"/>
          <w:sz w:val="24"/>
          <w:szCs w:val="24"/>
          <w:lang w:eastAsia="es-PE"/>
        </w:rPr>
        <w:t xml:space="preserve"> (HAMMARBERG, 2009, </w:t>
      </w:r>
      <w:r w:rsidR="00BE7E5F">
        <w:rPr>
          <w:rFonts w:ascii="Times New Roman" w:eastAsia="Times New Roman" w:hAnsi="Times New Roman" w:cs="Times New Roman"/>
          <w:color w:val="000000"/>
          <w:sz w:val="24"/>
          <w:szCs w:val="24"/>
          <w:lang w:eastAsia="es-PE"/>
        </w:rPr>
        <w:t>pág. 25)</w:t>
      </w:r>
    </w:p>
    <w:p w:rsidR="003007FB" w:rsidRPr="00C9214A" w:rsidRDefault="003007FB" w:rsidP="009B701C">
      <w:pPr>
        <w:spacing w:after="0" w:line="360" w:lineRule="auto"/>
        <w:ind w:left="425" w:hanging="425"/>
        <w:jc w:val="both"/>
        <w:textAlignment w:val="baseline"/>
        <w:rPr>
          <w:rFonts w:ascii="Calibri" w:eastAsia="Times New Roman" w:hAnsi="Calibri" w:cs="Times New Roman"/>
          <w:color w:val="000000"/>
          <w:sz w:val="24"/>
          <w:szCs w:val="24"/>
          <w:lang w:eastAsia="es-PE"/>
        </w:rPr>
      </w:pPr>
    </w:p>
    <w:p w:rsidR="00C9214A" w:rsidRPr="000D3F6B" w:rsidRDefault="00C9214A" w:rsidP="009B701C">
      <w:pPr>
        <w:numPr>
          <w:ilvl w:val="0"/>
          <w:numId w:val="2"/>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Este trabajo de integración se apoyó en los estudios de campo acerca de las interfaces de comunicación-educación, siendo Kaplún</w:t>
      </w:r>
      <w:r w:rsidR="00732929">
        <w:rPr>
          <w:rFonts w:ascii="Times New Roman" w:eastAsia="Times New Roman" w:hAnsi="Times New Roman" w:cs="Times New Roman"/>
          <w:color w:val="000000"/>
          <w:sz w:val="24"/>
          <w:szCs w:val="24"/>
          <w:lang w:eastAsia="es-PE"/>
        </w:rPr>
        <w:t>, J.</w:t>
      </w:r>
      <w:r w:rsidRPr="000D3F6B">
        <w:rPr>
          <w:rFonts w:ascii="Times New Roman" w:eastAsia="Times New Roman" w:hAnsi="Times New Roman" w:cs="Times New Roman"/>
          <w:color w:val="000000"/>
          <w:sz w:val="24"/>
          <w:szCs w:val="24"/>
          <w:lang w:eastAsia="es-PE"/>
        </w:rPr>
        <w:t xml:space="preserve"> (2010) la mayor referencia cuando afirma: “Bueno es, pues, que un sistema educativo sea grupal; pero mucho mejor aún que sea intergrupal. Tan dinamizador como promover la formación de grupos es proveer canales para que esos grupos se intercomuniquen los unos con los otros” (págs. 56 y 57).</w:t>
      </w:r>
    </w:p>
    <w:p w:rsidR="003007FB" w:rsidRPr="00C9214A" w:rsidRDefault="003007FB" w:rsidP="009B701C">
      <w:pPr>
        <w:spacing w:after="0" w:line="360" w:lineRule="auto"/>
        <w:ind w:left="425" w:hanging="425"/>
        <w:jc w:val="both"/>
        <w:textAlignment w:val="baseline"/>
        <w:rPr>
          <w:rFonts w:ascii="Calibri" w:eastAsia="Times New Roman" w:hAnsi="Calibri" w:cs="Times New Roman"/>
          <w:color w:val="000000"/>
          <w:sz w:val="24"/>
          <w:szCs w:val="24"/>
          <w:lang w:eastAsia="es-PE"/>
        </w:rPr>
      </w:pPr>
    </w:p>
    <w:p w:rsidR="00C9214A" w:rsidRPr="000D3F6B" w:rsidRDefault="00C9214A" w:rsidP="009B701C">
      <w:pPr>
        <w:numPr>
          <w:ilvl w:val="0"/>
          <w:numId w:val="3"/>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La influencia del Camino de Santiago en el desarrollo del Románico ha sido reconocida desde antiguo (López, 1920; González, 1933). Gómez explica que “La penetración de la reforma cluniacense a través de las peregrinaciones jacobeas fue decisiva para la evolución del Románico peninsular” (Gómez, 1960, p. 78). </w:t>
      </w:r>
    </w:p>
    <w:p w:rsidR="003007FB" w:rsidRPr="000D3F6B" w:rsidRDefault="003007FB" w:rsidP="009B701C">
      <w:p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p>
    <w:p w:rsidR="00C9214A" w:rsidRPr="000D3F6B" w:rsidRDefault="00C9214A" w:rsidP="009B701C">
      <w:pPr>
        <w:numPr>
          <w:ilvl w:val="0"/>
          <w:numId w:val="4"/>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No hay entonces Lima imaginada sin los apetitos irrefrenables de evasión suscitados en ella ni sin el resentimiento embalsado por su desigualdad. </w:t>
      </w:r>
      <w:bookmarkStart w:id="0" w:name="_GoBack"/>
      <w:bookmarkEnd w:id="0"/>
      <w:r w:rsidRPr="000D3F6B">
        <w:rPr>
          <w:rFonts w:ascii="Times New Roman" w:eastAsia="Times New Roman" w:hAnsi="Times New Roman" w:cs="Times New Roman"/>
          <w:color w:val="000000"/>
          <w:sz w:val="24"/>
          <w:szCs w:val="24"/>
          <w:lang w:eastAsia="es-PE"/>
        </w:rPr>
        <w:t xml:space="preserve">Si la </w:t>
      </w:r>
      <w:r w:rsidRPr="000D3F6B">
        <w:rPr>
          <w:rFonts w:ascii="Times New Roman" w:eastAsia="Times New Roman" w:hAnsi="Times New Roman" w:cs="Times New Roman"/>
          <w:i/>
          <w:iCs/>
          <w:color w:val="000000"/>
          <w:sz w:val="24"/>
          <w:szCs w:val="24"/>
          <w:lang w:eastAsia="es-PE"/>
        </w:rPr>
        <w:t>Ketamina</w:t>
      </w:r>
      <w:r w:rsidRPr="000D3F6B">
        <w:rPr>
          <w:rFonts w:ascii="Times New Roman" w:eastAsia="Times New Roman" w:hAnsi="Times New Roman" w:cs="Times New Roman"/>
          <w:color w:val="000000"/>
          <w:sz w:val="24"/>
          <w:szCs w:val="24"/>
          <w:lang w:eastAsia="es-PE"/>
        </w:rPr>
        <w:t xml:space="preserve"> y el </w:t>
      </w:r>
      <w:r w:rsidRPr="000D3F6B">
        <w:rPr>
          <w:rFonts w:ascii="Times New Roman" w:eastAsia="Times New Roman" w:hAnsi="Times New Roman" w:cs="Times New Roman"/>
          <w:i/>
          <w:iCs/>
          <w:color w:val="000000"/>
          <w:sz w:val="24"/>
          <w:szCs w:val="24"/>
          <w:lang w:eastAsia="es-PE"/>
        </w:rPr>
        <w:t>éxtasis</w:t>
      </w:r>
      <w:r w:rsidRPr="000D3F6B">
        <w:rPr>
          <w:rFonts w:ascii="Times New Roman" w:eastAsia="Times New Roman" w:hAnsi="Times New Roman" w:cs="Times New Roman"/>
          <w:color w:val="000000"/>
          <w:sz w:val="24"/>
          <w:szCs w:val="24"/>
          <w:lang w:eastAsia="es-PE"/>
        </w:rPr>
        <w:t xml:space="preserve"> de las discotecas de lujo como el </w:t>
      </w:r>
      <w:r w:rsidRPr="000D3F6B">
        <w:rPr>
          <w:rFonts w:ascii="Times New Roman" w:eastAsia="Times New Roman" w:hAnsi="Times New Roman" w:cs="Times New Roman"/>
          <w:i/>
          <w:iCs/>
          <w:color w:val="000000"/>
          <w:sz w:val="24"/>
          <w:szCs w:val="24"/>
          <w:lang w:eastAsia="es-PE"/>
        </w:rPr>
        <w:t>terokal</w:t>
      </w:r>
      <w:r w:rsidRPr="000D3F6B">
        <w:rPr>
          <w:rFonts w:ascii="Times New Roman" w:eastAsia="Times New Roman" w:hAnsi="Times New Roman" w:cs="Times New Roman"/>
          <w:color w:val="000000"/>
          <w:sz w:val="24"/>
          <w:szCs w:val="24"/>
          <w:lang w:eastAsia="es-PE"/>
        </w:rPr>
        <w:t xml:space="preserve"> pandillero son medios para aplacar la insatisfacción de quienes sienten vivir la ciudad </w:t>
      </w:r>
      <w:r w:rsidRPr="000D3F6B">
        <w:rPr>
          <w:rFonts w:ascii="Times New Roman" w:eastAsia="Times New Roman" w:hAnsi="Times New Roman" w:cs="Times New Roman"/>
          <w:i/>
          <w:iCs/>
          <w:color w:val="000000"/>
          <w:sz w:val="24"/>
          <w:szCs w:val="24"/>
          <w:lang w:eastAsia="es-PE"/>
        </w:rPr>
        <w:t>“</w:t>
      </w:r>
      <w:r w:rsidRPr="000D3F6B">
        <w:rPr>
          <w:rFonts w:ascii="Times New Roman" w:eastAsia="Times New Roman" w:hAnsi="Times New Roman" w:cs="Times New Roman"/>
          <w:color w:val="000000"/>
          <w:sz w:val="24"/>
          <w:szCs w:val="24"/>
          <w:lang w:eastAsia="es-PE"/>
        </w:rPr>
        <w:t>sin culpa y sin utopía</w:t>
      </w:r>
      <w:r w:rsidRPr="000D3F6B">
        <w:rPr>
          <w:rFonts w:ascii="Times New Roman" w:eastAsia="Times New Roman" w:hAnsi="Times New Roman" w:cs="Times New Roman"/>
          <w:i/>
          <w:iCs/>
          <w:color w:val="000000"/>
          <w:sz w:val="24"/>
          <w:szCs w:val="24"/>
          <w:lang w:eastAsia="es-PE"/>
        </w:rPr>
        <w:t>”.</w:t>
      </w:r>
      <w:r w:rsidRPr="000D3F6B">
        <w:rPr>
          <w:rFonts w:ascii="Times New Roman" w:eastAsia="Times New Roman" w:hAnsi="Times New Roman" w:cs="Times New Roman"/>
          <w:color w:val="000000"/>
          <w:sz w:val="24"/>
          <w:szCs w:val="24"/>
          <w:lang w:eastAsia="es-PE"/>
        </w:rPr>
        <w:t xml:space="preserve"> Martín Barbero, L. (2002, p. 274)</w:t>
      </w:r>
    </w:p>
    <w:p w:rsidR="00C9214A" w:rsidRPr="00C9214A" w:rsidRDefault="00C9214A" w:rsidP="009B701C">
      <w:pPr>
        <w:spacing w:after="0" w:line="360" w:lineRule="auto"/>
        <w:ind w:left="425" w:hanging="425"/>
        <w:jc w:val="both"/>
        <w:textAlignment w:val="baseline"/>
        <w:rPr>
          <w:rFonts w:ascii="Calibri" w:eastAsia="Times New Roman" w:hAnsi="Calibri" w:cs="Times New Roman"/>
          <w:color w:val="000000"/>
          <w:sz w:val="24"/>
          <w:szCs w:val="24"/>
          <w:lang w:eastAsia="es-PE"/>
        </w:rPr>
      </w:pPr>
    </w:p>
    <w:p w:rsidR="00C9214A" w:rsidRPr="000D3F6B" w:rsidRDefault="00C9214A" w:rsidP="009B701C">
      <w:pPr>
        <w:numPr>
          <w:ilvl w:val="0"/>
          <w:numId w:val="4"/>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Desde una perspectiva textual, Van Dijk (1980: 147</w:t>
      </w:r>
      <w:r w:rsidRPr="000D3F6B">
        <w:rPr>
          <w:rFonts w:ascii="Cambria Math" w:eastAsia="Times New Roman" w:hAnsi="Cambria Math" w:cs="Cambria Math"/>
          <w:color w:val="000000"/>
          <w:sz w:val="24"/>
          <w:szCs w:val="24"/>
          <w:lang w:eastAsia="es-PE"/>
        </w:rPr>
        <w:t>‐</w:t>
      </w:r>
      <w:r w:rsidRPr="000D3F6B">
        <w:rPr>
          <w:rFonts w:ascii="Times New Roman" w:eastAsia="Times New Roman" w:hAnsi="Times New Roman" w:cs="Times New Roman"/>
          <w:color w:val="000000"/>
          <w:sz w:val="24"/>
          <w:szCs w:val="24"/>
          <w:lang w:eastAsia="es-PE"/>
        </w:rPr>
        <w:t>155), en un capítulo</w:t>
      </w:r>
      <w:r w:rsidRPr="00C9214A">
        <w:rPr>
          <w:rFonts w:ascii="Calibri" w:eastAsia="Times New Roman" w:hAnsi="Calibri" w:cs="Times New Roman"/>
          <w:color w:val="000000"/>
          <w:sz w:val="24"/>
          <w:szCs w:val="24"/>
          <w:lang w:eastAsia="es-PE"/>
        </w:rPr>
        <w:t xml:space="preserve"> íntegramente </w:t>
      </w:r>
      <w:r w:rsidRPr="007A31C4">
        <w:rPr>
          <w:rFonts w:ascii="Times New Roman" w:eastAsia="Times New Roman" w:hAnsi="Times New Roman" w:cs="Times New Roman"/>
          <w:color w:val="000000"/>
          <w:sz w:val="24"/>
          <w:szCs w:val="24"/>
          <w:lang w:eastAsia="es-PE"/>
        </w:rPr>
        <w:t>dedicado a la coherencia, tras indicar que es una noción no bien definida, recurre</w:t>
      </w:r>
      <w:r w:rsidRPr="000D3F6B">
        <w:rPr>
          <w:rFonts w:ascii="Times New Roman" w:eastAsia="Times New Roman" w:hAnsi="Times New Roman" w:cs="Times New Roman"/>
          <w:color w:val="000000"/>
          <w:sz w:val="24"/>
          <w:szCs w:val="24"/>
          <w:lang w:eastAsia="es-PE"/>
        </w:rPr>
        <w:t xml:space="preserve"> inicialmente a aspectos intuitivos:</w:t>
      </w:r>
    </w:p>
    <w:p w:rsidR="003007FB" w:rsidRDefault="00C9214A" w:rsidP="009B701C">
      <w:pPr>
        <w:spacing w:after="0" w:line="360" w:lineRule="auto"/>
        <w:ind w:left="425" w:firstLine="1"/>
        <w:jc w:val="both"/>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lastRenderedPageBreak/>
        <w:t>“Intuitivamente la coherencia es una propiedad semántica de los discursos, basada</w:t>
      </w:r>
      <w:r w:rsidRPr="00C9214A">
        <w:rPr>
          <w:rFonts w:ascii="Calibri" w:eastAsia="Times New Roman" w:hAnsi="Calibri" w:cs="Times New Roman"/>
          <w:color w:val="000000"/>
          <w:sz w:val="24"/>
          <w:szCs w:val="24"/>
          <w:lang w:eastAsia="es-PE"/>
        </w:rPr>
        <w:t xml:space="preserve"> </w:t>
      </w:r>
      <w:r w:rsidRPr="000D3F6B">
        <w:rPr>
          <w:rFonts w:ascii="Times New Roman" w:eastAsia="Times New Roman" w:hAnsi="Times New Roman" w:cs="Times New Roman"/>
          <w:color w:val="000000"/>
          <w:sz w:val="24"/>
          <w:szCs w:val="24"/>
          <w:lang w:eastAsia="es-PE"/>
        </w:rPr>
        <w:t>en la interpretación de cada frase individual relacionada con la interpretación de otras frases”. (p. 147)</w:t>
      </w:r>
      <w:r w:rsidR="003007FB" w:rsidRPr="000D3F6B">
        <w:rPr>
          <w:rFonts w:ascii="Times New Roman" w:eastAsia="Times New Roman" w:hAnsi="Times New Roman" w:cs="Times New Roman"/>
          <w:color w:val="000000"/>
          <w:sz w:val="24"/>
          <w:szCs w:val="24"/>
          <w:lang w:eastAsia="es-PE"/>
        </w:rPr>
        <w:t>.</w:t>
      </w:r>
    </w:p>
    <w:p w:rsidR="009B701C" w:rsidRDefault="009B701C" w:rsidP="009B701C">
      <w:pPr>
        <w:spacing w:after="0" w:line="360" w:lineRule="auto"/>
        <w:ind w:left="425" w:firstLine="1"/>
        <w:jc w:val="both"/>
        <w:rPr>
          <w:rFonts w:ascii="Calibri" w:eastAsia="Times New Roman" w:hAnsi="Calibri" w:cs="Times New Roman"/>
          <w:color w:val="000000"/>
          <w:sz w:val="24"/>
          <w:szCs w:val="24"/>
          <w:lang w:eastAsia="es-PE"/>
        </w:rPr>
      </w:pPr>
    </w:p>
    <w:p w:rsidR="00C9214A" w:rsidRPr="000D3F6B" w:rsidRDefault="003007FB" w:rsidP="009B701C">
      <w:pPr>
        <w:spacing w:after="0" w:line="360" w:lineRule="auto"/>
        <w:ind w:left="425" w:hanging="425"/>
        <w:jc w:val="both"/>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6.    </w:t>
      </w:r>
      <w:r w:rsidR="00C9214A" w:rsidRPr="000D3F6B">
        <w:rPr>
          <w:rFonts w:ascii="Times New Roman" w:eastAsia="Times New Roman" w:hAnsi="Times New Roman" w:cs="Times New Roman"/>
          <w:color w:val="000000"/>
          <w:sz w:val="24"/>
          <w:szCs w:val="24"/>
          <w:lang w:eastAsia="es-PE"/>
        </w:rPr>
        <w:t>Esa crítica alcanza también al empirismo lógico y a las ciencias cognitivas, que proponen una génesis del conocimiento sin cuerpo. Por un lado, el célebre camino de la sensación al entendimiento se desvía hacia un refinamiento sensorial típico de la alta cultura; pero, en simultáneo, anestesia y desafina a la mayoría. Por otro lado, según Serres:</w:t>
      </w:r>
    </w:p>
    <w:p w:rsidR="00C9214A" w:rsidRPr="000D3F6B" w:rsidRDefault="00C9214A" w:rsidP="009B701C">
      <w:pPr>
        <w:spacing w:after="0" w:line="360" w:lineRule="auto"/>
        <w:ind w:left="425" w:firstLine="1"/>
        <w:jc w:val="both"/>
        <w:rPr>
          <w:rFonts w:ascii="Times New Roman" w:eastAsia="Times New Roman" w:hAnsi="Times New Roman" w:cs="Times New Roman"/>
          <w:color w:val="000000"/>
          <w:sz w:val="24"/>
          <w:szCs w:val="24"/>
          <w:lang w:eastAsia="es-PE"/>
        </w:rPr>
      </w:pPr>
      <w:r w:rsidRPr="002C0055">
        <w:rPr>
          <w:rFonts w:ascii="Times New Roman" w:eastAsia="Times New Roman" w:hAnsi="Times New Roman" w:cs="Times New Roman"/>
          <w:color w:val="000000"/>
          <w:sz w:val="24"/>
          <w:szCs w:val="24"/>
          <w:lang w:eastAsia="es-PE"/>
        </w:rPr>
        <w:t>“Nadie vio jamás el camino detallado del color azul a la palabra azul, que ya no tiene</w:t>
      </w:r>
      <w:r w:rsidRPr="00C9214A">
        <w:rPr>
          <w:rFonts w:ascii="Calibri" w:eastAsia="Times New Roman" w:hAnsi="Calibri" w:cs="Times New Roman"/>
          <w:color w:val="000000"/>
          <w:sz w:val="24"/>
          <w:szCs w:val="24"/>
          <w:lang w:eastAsia="es-PE"/>
        </w:rPr>
        <w:t xml:space="preserve"> </w:t>
      </w:r>
      <w:r w:rsidRPr="000D3F6B">
        <w:rPr>
          <w:rFonts w:ascii="Times New Roman" w:eastAsia="Times New Roman" w:hAnsi="Times New Roman" w:cs="Times New Roman"/>
          <w:color w:val="000000"/>
          <w:sz w:val="24"/>
          <w:szCs w:val="24"/>
          <w:lang w:eastAsia="es-PE"/>
        </w:rPr>
        <w:t>nada de azul, de los sentidos al concepto; los receptores bioquímicos y los mensajeros intersinápticos nunca condujeron a un pensamiento ileso de proteína y de carga eléctrica” (2011, p. 103).</w:t>
      </w:r>
    </w:p>
    <w:p w:rsidR="003007FB" w:rsidRPr="000D3F6B" w:rsidRDefault="003007FB" w:rsidP="009B701C">
      <w:pPr>
        <w:spacing w:after="0" w:line="360" w:lineRule="auto"/>
        <w:ind w:left="425" w:hanging="425"/>
        <w:jc w:val="both"/>
        <w:rPr>
          <w:rFonts w:ascii="Times New Roman" w:eastAsia="Times New Roman" w:hAnsi="Times New Roman" w:cs="Times New Roman"/>
          <w:sz w:val="24"/>
          <w:szCs w:val="24"/>
          <w:lang w:eastAsia="es-PE"/>
        </w:rPr>
      </w:pPr>
    </w:p>
    <w:p w:rsidR="00C9214A" w:rsidRPr="000D3F6B" w:rsidRDefault="00C9214A" w:rsidP="009B701C">
      <w:pPr>
        <w:numPr>
          <w:ilvl w:val="0"/>
          <w:numId w:val="7"/>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Respecto a la inversión privada durante el 2014, hay que considerar el análisis del Banco Central de Reserva del Perú (2015): </w:t>
      </w:r>
    </w:p>
    <w:p w:rsidR="003007FB" w:rsidRPr="000D3F6B" w:rsidRDefault="00C9214A" w:rsidP="009B701C">
      <w:pPr>
        <w:spacing w:after="0" w:line="360" w:lineRule="auto"/>
        <w:ind w:left="425" w:firstLine="1"/>
        <w:jc w:val="both"/>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La inversión privada registró una tasa de variación negativa de 1,6 por ciento, que contrasta con el crecimiento del año previo (6,6 por ciento). El entorno internacional menos favorable y el deterioro de los términos de intercambio afectaron el desempeño de la inversión privada (BCRP, 2015, p. 17).</w:t>
      </w:r>
    </w:p>
    <w:p w:rsidR="003007FB" w:rsidRPr="000D3F6B" w:rsidRDefault="003007FB" w:rsidP="009B701C">
      <w:pPr>
        <w:spacing w:after="0" w:line="360" w:lineRule="auto"/>
        <w:ind w:left="425" w:hanging="425"/>
        <w:jc w:val="both"/>
        <w:rPr>
          <w:rFonts w:ascii="Times New Roman" w:eastAsia="Times New Roman" w:hAnsi="Times New Roman" w:cs="Times New Roman"/>
          <w:color w:val="000000"/>
          <w:sz w:val="24"/>
          <w:szCs w:val="24"/>
          <w:lang w:eastAsia="es-PE"/>
        </w:rPr>
      </w:pPr>
    </w:p>
    <w:p w:rsidR="00C9214A" w:rsidRDefault="00C9214A" w:rsidP="009B701C">
      <w:pPr>
        <w:numPr>
          <w:ilvl w:val="0"/>
          <w:numId w:val="8"/>
        </w:numPr>
        <w:spacing w:after="0" w:line="360" w:lineRule="auto"/>
        <w:ind w:left="425" w:hanging="425"/>
        <w:jc w:val="both"/>
        <w:textAlignment w:val="baseline"/>
        <w:rPr>
          <w:rFonts w:ascii="Calibri" w:eastAsia="Times New Roman" w:hAnsi="Calibri"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De manera que el centro comercial es definitivamente un simulacro de la posciudad, por lo menos un ejercicio ideal, pues es un artefacto perfectamente adecuado a la hipótesis del nomadismo contemporáneo: cualquiera que haya usado alguna vez un</w:t>
      </w:r>
      <w:r w:rsidRPr="00C9214A">
        <w:rPr>
          <w:rFonts w:ascii="Calibri" w:eastAsia="Times New Roman" w:hAnsi="Calibri" w:cs="Times New Roman"/>
          <w:color w:val="000000"/>
          <w:sz w:val="24"/>
          <w:szCs w:val="24"/>
          <w:lang w:eastAsia="es-PE"/>
        </w:rPr>
        <w:t xml:space="preserve"> </w:t>
      </w:r>
      <w:r w:rsidRPr="000D3F6B">
        <w:rPr>
          <w:rFonts w:ascii="Times New Roman" w:eastAsia="Times New Roman" w:hAnsi="Times New Roman" w:cs="Times New Roman"/>
          <w:color w:val="000000"/>
          <w:sz w:val="24"/>
          <w:szCs w:val="24"/>
          <w:lang w:eastAsia="es-PE"/>
        </w:rPr>
        <w:t>shopping puede usar otro, en una ciudad diferente y extraña de la que ni siquiera conozca la lengua o las costumbres de esta nueva urbe</w:t>
      </w:r>
      <w:r w:rsidR="003007FB" w:rsidRPr="000D3F6B">
        <w:rPr>
          <w:rStyle w:val="Refdenotaalpie"/>
          <w:rFonts w:ascii="Times New Roman" w:eastAsia="Times New Roman" w:hAnsi="Times New Roman" w:cs="Times New Roman"/>
          <w:color w:val="000000"/>
          <w:sz w:val="24"/>
          <w:szCs w:val="24"/>
          <w:lang w:eastAsia="es-PE"/>
        </w:rPr>
        <w:footnoteReference w:id="1"/>
      </w:r>
      <w:r w:rsidRPr="000D3F6B">
        <w:rPr>
          <w:rFonts w:ascii="Times New Roman" w:eastAsia="Times New Roman" w:hAnsi="Times New Roman" w:cs="Times New Roman"/>
          <w:color w:val="000000"/>
          <w:sz w:val="24"/>
          <w:szCs w:val="24"/>
          <w:lang w:eastAsia="es-PE"/>
        </w:rPr>
        <w:t>.</w:t>
      </w:r>
    </w:p>
    <w:p w:rsidR="003007FB" w:rsidRPr="00C9214A" w:rsidRDefault="003007FB" w:rsidP="009B701C">
      <w:pPr>
        <w:spacing w:after="0" w:line="360" w:lineRule="auto"/>
        <w:ind w:left="425" w:hanging="425"/>
        <w:jc w:val="both"/>
        <w:textAlignment w:val="baseline"/>
        <w:rPr>
          <w:rFonts w:ascii="Calibri" w:eastAsia="Times New Roman" w:hAnsi="Calibri" w:cs="Times New Roman"/>
          <w:color w:val="000000"/>
          <w:sz w:val="24"/>
          <w:szCs w:val="24"/>
          <w:lang w:eastAsia="es-PE"/>
        </w:rPr>
      </w:pPr>
    </w:p>
    <w:p w:rsidR="00C9214A" w:rsidRPr="000D3F6B" w:rsidRDefault="00C9214A" w:rsidP="009B701C">
      <w:pPr>
        <w:numPr>
          <w:ilvl w:val="0"/>
          <w:numId w:val="9"/>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Los investigadores que estaban menos preocupados por el tema de los derechos de autor estaban más dispuestos usar el acceso abierto. Los resultados de este estudio son similares a otros estudios que encontraron los derechos de autor como un importante </w:t>
      </w:r>
      <w:r w:rsidRPr="000D3F6B">
        <w:rPr>
          <w:rFonts w:ascii="Times New Roman" w:eastAsia="Times New Roman" w:hAnsi="Times New Roman" w:cs="Times New Roman"/>
          <w:color w:val="000000"/>
          <w:sz w:val="24"/>
          <w:szCs w:val="24"/>
          <w:lang w:eastAsia="es-PE"/>
        </w:rPr>
        <w:lastRenderedPageBreak/>
        <w:t>obstáculo para el auto-archivo (Creaser, Fry, Greenwood, Oppenheim, Probets &amp; White, 2010).</w:t>
      </w:r>
    </w:p>
    <w:p w:rsidR="003007FB" w:rsidRPr="000D3F6B" w:rsidRDefault="003007FB" w:rsidP="009B701C">
      <w:p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p>
    <w:p w:rsidR="00C9214A" w:rsidRPr="000D3F6B" w:rsidRDefault="00C9214A" w:rsidP="009B701C">
      <w:pPr>
        <w:numPr>
          <w:ilvl w:val="0"/>
          <w:numId w:val="10"/>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 xml:space="preserve">El concepto de anomia, acuñado por Durkheim (1982: 144, 145), quien lo pensó teniendo en mente el viejo París metropolitano, se refiere a la ausencia de normas características de los márgenes sociales, llamado “bajos fondos”, cuando hay un centro (el Estado) que establece eficazmente las reglas de lo juzgado socialmente correcto. </w:t>
      </w:r>
    </w:p>
    <w:p w:rsidR="003007FB" w:rsidRPr="000D3F6B" w:rsidRDefault="003007FB" w:rsidP="009B701C">
      <w:p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p>
    <w:p w:rsidR="00C9214A" w:rsidRPr="000D3F6B" w:rsidRDefault="00C9214A" w:rsidP="009B701C">
      <w:pPr>
        <w:numPr>
          <w:ilvl w:val="0"/>
          <w:numId w:val="11"/>
        </w:numPr>
        <w:spacing w:after="0" w:line="360" w:lineRule="auto"/>
        <w:ind w:left="425" w:hanging="425"/>
        <w:jc w:val="both"/>
        <w:textAlignment w:val="baseline"/>
        <w:rPr>
          <w:rFonts w:ascii="Times New Roman" w:eastAsia="Times New Roman" w:hAnsi="Times New Roman" w:cs="Times New Roman"/>
          <w:color w:val="000000"/>
          <w:sz w:val="24"/>
          <w:szCs w:val="24"/>
          <w:lang w:eastAsia="es-PE"/>
        </w:rPr>
      </w:pPr>
      <w:r w:rsidRPr="000D3F6B">
        <w:rPr>
          <w:rFonts w:ascii="Times New Roman" w:eastAsia="Times New Roman" w:hAnsi="Times New Roman" w:cs="Times New Roman"/>
          <w:color w:val="000000"/>
          <w:sz w:val="24"/>
          <w:szCs w:val="24"/>
          <w:lang w:eastAsia="es-PE"/>
        </w:rPr>
        <w:t>Por eso, cubriendo distintas semióticas y abarcando fenómenos muy diversos, Lotman &amp; Pjatigorsky (2016) definen el texto como “formación semiótica singular, cerrada en sí, dotada de un significado y de una función íntegra y no descomponible”. (párr. 4)</w:t>
      </w:r>
    </w:p>
    <w:p w:rsidR="00582DF3" w:rsidRDefault="00582DF3"/>
    <w:sectPr w:rsidR="00582D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D69" w:rsidRDefault="00D42D69" w:rsidP="003007FB">
      <w:pPr>
        <w:spacing w:after="0" w:line="240" w:lineRule="auto"/>
      </w:pPr>
      <w:r>
        <w:separator/>
      </w:r>
    </w:p>
  </w:endnote>
  <w:endnote w:type="continuationSeparator" w:id="0">
    <w:p w:rsidR="00D42D69" w:rsidRDefault="00D42D69" w:rsidP="0030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D69" w:rsidRDefault="00D42D69" w:rsidP="003007FB">
      <w:pPr>
        <w:spacing w:after="0" w:line="240" w:lineRule="auto"/>
      </w:pPr>
      <w:r>
        <w:separator/>
      </w:r>
    </w:p>
  </w:footnote>
  <w:footnote w:type="continuationSeparator" w:id="0">
    <w:p w:rsidR="00D42D69" w:rsidRDefault="00D42D69" w:rsidP="003007FB">
      <w:pPr>
        <w:spacing w:after="0" w:line="240" w:lineRule="auto"/>
      </w:pPr>
      <w:r>
        <w:continuationSeparator/>
      </w:r>
    </w:p>
  </w:footnote>
  <w:footnote w:id="1">
    <w:p w:rsidR="003007FB" w:rsidRDefault="003007FB">
      <w:pPr>
        <w:pStyle w:val="Textonotapie"/>
      </w:pPr>
      <w:r>
        <w:rPr>
          <w:rStyle w:val="Refdenotaalpie"/>
        </w:rPr>
        <w:footnoteRef/>
      </w:r>
      <w:r>
        <w:t xml:space="preserve"> </w:t>
      </w:r>
      <w:r w:rsidRPr="000D3F6B">
        <w:rPr>
          <w:rFonts w:ascii="Times New Roman" w:hAnsi="Times New Roman" w:cs="Times New Roman"/>
          <w:color w:val="000000"/>
        </w:rPr>
        <w:t>Antonio Sarlo López, 1997, p. 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226"/>
    <w:multiLevelType w:val="multilevel"/>
    <w:tmpl w:val="3774C8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8257FF"/>
    <w:multiLevelType w:val="multilevel"/>
    <w:tmpl w:val="33ACBE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B6E1B"/>
    <w:multiLevelType w:val="multilevel"/>
    <w:tmpl w:val="8C700D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533BC3"/>
    <w:multiLevelType w:val="multilevel"/>
    <w:tmpl w:val="E16A3A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4033B8"/>
    <w:multiLevelType w:val="multilevel"/>
    <w:tmpl w:val="B5FE4B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E01E8"/>
    <w:multiLevelType w:val="multilevel"/>
    <w:tmpl w:val="91C81B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13653"/>
    <w:multiLevelType w:val="multilevel"/>
    <w:tmpl w:val="A67C8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C44737"/>
    <w:multiLevelType w:val="multilevel"/>
    <w:tmpl w:val="813A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6A6919"/>
    <w:multiLevelType w:val="multilevel"/>
    <w:tmpl w:val="3E92D1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622780"/>
    <w:multiLevelType w:val="multilevel"/>
    <w:tmpl w:val="059EF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909BD"/>
    <w:multiLevelType w:val="multilevel"/>
    <w:tmpl w:val="B5529F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8"/>
    <w:lvlOverride w:ilvl="0">
      <w:lvl w:ilvl="0">
        <w:numFmt w:val="decimal"/>
        <w:lvlText w:val="%1."/>
        <w:lvlJc w:val="left"/>
      </w:lvl>
    </w:lvlOverride>
  </w:num>
  <w:num w:numId="5">
    <w:abstractNumId w:val="2"/>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4A"/>
    <w:rsid w:val="000D3F6B"/>
    <w:rsid w:val="0025138F"/>
    <w:rsid w:val="002669C7"/>
    <w:rsid w:val="002C0055"/>
    <w:rsid w:val="003007FB"/>
    <w:rsid w:val="00333E62"/>
    <w:rsid w:val="003A2C81"/>
    <w:rsid w:val="00582DF3"/>
    <w:rsid w:val="005C6153"/>
    <w:rsid w:val="00650922"/>
    <w:rsid w:val="00655A6A"/>
    <w:rsid w:val="0066455C"/>
    <w:rsid w:val="00732929"/>
    <w:rsid w:val="007A31C4"/>
    <w:rsid w:val="009B701C"/>
    <w:rsid w:val="00AC7B11"/>
    <w:rsid w:val="00AE6AF7"/>
    <w:rsid w:val="00B20595"/>
    <w:rsid w:val="00BE7E5F"/>
    <w:rsid w:val="00C9214A"/>
    <w:rsid w:val="00D42D69"/>
    <w:rsid w:val="00E90792"/>
    <w:rsid w:val="00EA061D"/>
    <w:rsid w:val="00EA4234"/>
    <w:rsid w:val="00EB4DDD"/>
    <w:rsid w:val="00ED40FB"/>
    <w:rsid w:val="00EF0C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14BE6-6C77-49FB-BD50-C5D290A7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2C81"/>
    <w:pPr>
      <w:keepNext/>
      <w:keepLines/>
      <w:pBdr>
        <w:bottom w:val="single" w:sz="4" w:space="1" w:color="auto"/>
      </w:pBdr>
      <w:spacing w:before="240" w:after="0"/>
      <w:jc w:val="center"/>
      <w:outlineLvl w:val="0"/>
    </w:pPr>
    <w:rPr>
      <w:rFonts w:ascii="Times New Roman" w:eastAsiaTheme="majorEastAsia" w:hAnsi="Times New Roman" w:cstheme="majorBidi"/>
      <w:b/>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214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tab-span">
    <w:name w:val="apple-tab-span"/>
    <w:basedOn w:val="Fuentedeprrafopredeter"/>
    <w:rsid w:val="00C9214A"/>
  </w:style>
  <w:style w:type="paragraph" w:styleId="Encabezado">
    <w:name w:val="header"/>
    <w:basedOn w:val="Normal"/>
    <w:link w:val="EncabezadoCar"/>
    <w:uiPriority w:val="99"/>
    <w:unhideWhenUsed/>
    <w:rsid w:val="00300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7FB"/>
  </w:style>
  <w:style w:type="paragraph" w:styleId="Piedepgina">
    <w:name w:val="footer"/>
    <w:basedOn w:val="Normal"/>
    <w:link w:val="PiedepginaCar"/>
    <w:uiPriority w:val="99"/>
    <w:unhideWhenUsed/>
    <w:rsid w:val="00300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7FB"/>
  </w:style>
  <w:style w:type="paragraph" w:styleId="Textonotaalfinal">
    <w:name w:val="endnote text"/>
    <w:basedOn w:val="Normal"/>
    <w:link w:val="TextonotaalfinalCar"/>
    <w:uiPriority w:val="99"/>
    <w:semiHidden/>
    <w:unhideWhenUsed/>
    <w:rsid w:val="003007F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007FB"/>
    <w:rPr>
      <w:sz w:val="20"/>
      <w:szCs w:val="20"/>
    </w:rPr>
  </w:style>
  <w:style w:type="character" w:styleId="Refdenotaalfinal">
    <w:name w:val="endnote reference"/>
    <w:basedOn w:val="Fuentedeprrafopredeter"/>
    <w:uiPriority w:val="99"/>
    <w:semiHidden/>
    <w:unhideWhenUsed/>
    <w:rsid w:val="003007FB"/>
    <w:rPr>
      <w:vertAlign w:val="superscript"/>
    </w:rPr>
  </w:style>
  <w:style w:type="paragraph" w:styleId="Prrafodelista">
    <w:name w:val="List Paragraph"/>
    <w:basedOn w:val="Normal"/>
    <w:uiPriority w:val="34"/>
    <w:qFormat/>
    <w:rsid w:val="003007FB"/>
    <w:pPr>
      <w:ind w:left="720"/>
      <w:contextualSpacing/>
    </w:pPr>
  </w:style>
  <w:style w:type="paragraph" w:styleId="Textonotapie">
    <w:name w:val="footnote text"/>
    <w:basedOn w:val="Normal"/>
    <w:link w:val="TextonotapieCar"/>
    <w:uiPriority w:val="99"/>
    <w:semiHidden/>
    <w:unhideWhenUsed/>
    <w:rsid w:val="003007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07FB"/>
    <w:rPr>
      <w:sz w:val="20"/>
      <w:szCs w:val="20"/>
    </w:rPr>
  </w:style>
  <w:style w:type="character" w:styleId="Refdenotaalpie">
    <w:name w:val="footnote reference"/>
    <w:basedOn w:val="Fuentedeprrafopredeter"/>
    <w:uiPriority w:val="99"/>
    <w:semiHidden/>
    <w:unhideWhenUsed/>
    <w:rsid w:val="003007FB"/>
    <w:rPr>
      <w:vertAlign w:val="superscript"/>
    </w:rPr>
  </w:style>
  <w:style w:type="character" w:customStyle="1" w:styleId="Ttulo1Car">
    <w:name w:val="Título 1 Car"/>
    <w:basedOn w:val="Fuentedeprrafopredeter"/>
    <w:link w:val="Ttulo1"/>
    <w:uiPriority w:val="9"/>
    <w:rsid w:val="003A2C81"/>
    <w:rPr>
      <w:rFonts w:ascii="Times New Roman" w:eastAsiaTheme="majorEastAsia" w:hAnsi="Times New Roman"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0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AD27-6E90-4AF0-918A-BB882013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660</Words>
  <Characters>3630</Characters>
  <Application>Microsoft Office Word</Application>
  <DocSecurity>0</DocSecurity>
  <Lines>30</Lines>
  <Paragraphs>8</Paragraphs>
  <ScaleCrop>false</ScaleCrop>
  <Company>Universidad de Lima</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Dennis Giovanni Cuellar Ascencio</cp:lastModifiedBy>
  <cp:revision>14</cp:revision>
  <dcterms:created xsi:type="dcterms:W3CDTF">2019-02-25T16:39:00Z</dcterms:created>
  <dcterms:modified xsi:type="dcterms:W3CDTF">2019-08-23T21:16:00Z</dcterms:modified>
</cp:coreProperties>
</file>